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1B9F8D68" w14:textId="77777777" w:rsidR="004C5C3E" w:rsidRDefault="003A16CC">
      <w:pPr>
        <w:pStyle w:val="Level3"/>
      </w:pPr>
      <w:r>
        <w:rPr>
          <w:rFonts w:eastAsia="Arial"/>
          <w:lang w:val="fr-CA"/>
        </w:rPr>
        <w:tab/>
        <w:t>Actionneurs de porte :</w:t>
      </w:r>
    </w:p>
    <w:p w14:paraId="53008687" w14:textId="77777777" w:rsidR="004C5C3E" w:rsidRDefault="003A16CC">
      <w:pPr>
        <w:pStyle w:val="Level4"/>
      </w:pPr>
      <w:r>
        <w:rPr>
          <w:rFonts w:eastAsia="Arial"/>
          <w:lang w:val="fr-CA"/>
        </w:rPr>
        <w:tab/>
        <w:t>Modèle : MH.</w:t>
      </w:r>
    </w:p>
    <w:p w14:paraId="5635D6A9" w14:textId="77777777" w:rsidR="004C5C3E" w:rsidRDefault="003A16CC">
      <w:pPr>
        <w:pStyle w:val="Level4"/>
      </w:pPr>
      <w:r>
        <w:rPr>
          <w:rFonts w:eastAsia="Arial"/>
          <w:lang w:val="fr-CA"/>
        </w:rPr>
        <w:t xml:space="preserve"> </w:t>
      </w:r>
      <w:r>
        <w:rPr>
          <w:rFonts w:eastAsia="Arial"/>
          <w:lang w:val="fr-CA"/>
        </w:rPr>
        <w:tab/>
        <w:t>Fonctionnement : Arbre intermédiaire.</w:t>
      </w:r>
    </w:p>
    <w:p w14:paraId="6A7907A1" w14:textId="77777777" w:rsidR="004C5C3E" w:rsidRDefault="003A16CC">
      <w:pPr>
        <w:pStyle w:val="Level4"/>
      </w:pPr>
      <w:r>
        <w:rPr>
          <w:rFonts w:eastAsia="Arial"/>
          <w:lang w:val="fr-CA"/>
        </w:rPr>
        <w:tab/>
        <w:t>Montage : Mur.</w:t>
      </w:r>
    </w:p>
    <w:p w14:paraId="40269D74" w14:textId="77777777" w:rsidR="004C5C3E" w:rsidRDefault="003A16CC">
      <w:pPr>
        <w:pStyle w:val="Level4"/>
        <w:rPr>
          <w:lang w:val="fr-CA"/>
        </w:rPr>
      </w:pPr>
      <w:r>
        <w:rPr>
          <w:rFonts w:eastAsia="Arial"/>
          <w:lang w:val="fr-CA"/>
        </w:rPr>
        <w:t xml:space="preserve"> </w:t>
      </w:r>
      <w:r>
        <w:rPr>
          <w:rFonts w:eastAsia="Arial"/>
          <w:lang w:val="fr-CA"/>
        </w:rPr>
        <w:tab/>
        <w:t xml:space="preserve">Fonctionnement manuel : Palan à chaîne au niveau du sol avec verrouillage électrique. </w:t>
      </w:r>
    </w:p>
    <w:p w14:paraId="24734F8C" w14:textId="77777777" w:rsidR="004C5C3E" w:rsidRDefault="003A16CC">
      <w:pPr>
        <w:pStyle w:val="Level4"/>
        <w:rPr>
          <w:rFonts w:cs="Arial"/>
          <w:color w:val="000000" w:themeColor="text1"/>
          <w:lang w:val="fr-CA"/>
        </w:rPr>
      </w:pPr>
      <w:r>
        <w:rPr>
          <w:rFonts w:eastAsia="Arial"/>
          <w:color w:val="000000"/>
          <w:lang w:val="fr-CA"/>
        </w:rPr>
        <w:tab/>
        <w:t xml:space="preserve">Cycle de service homologué : </w:t>
      </w:r>
      <w:r>
        <w:rPr>
          <w:rFonts w:eastAsia="Arial" w:cs="Arial"/>
          <w:color w:val="000000"/>
          <w:shd w:val="clear" w:color="auto" w:fill="FFFFFF"/>
          <w:lang w:val="fr-CA"/>
        </w:rPr>
        <w:t>Maximum de 12 cycles par heure et 50 cycles par jour</w:t>
      </w:r>
      <w:r>
        <w:rPr>
          <w:rFonts w:eastAsia="Arial" w:cs="Arial"/>
          <w:color w:val="000000"/>
          <w:lang w:val="fr-CA"/>
        </w:rPr>
        <w:t>.</w:t>
      </w:r>
    </w:p>
    <w:p w14:paraId="76BF709E"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29505789" w14:textId="77777777" w:rsidR="004C5C3E" w:rsidRDefault="003A16CC">
      <w:pPr>
        <w:pStyle w:val="Level4"/>
        <w:rPr>
          <w:lang w:val="fr-CA"/>
        </w:rPr>
      </w:pPr>
      <w:r>
        <w:rPr>
          <w:rFonts w:eastAsia="Arial"/>
          <w:lang w:val="fr-CA"/>
        </w:rPr>
        <w:t xml:space="preserve"> </w:t>
      </w:r>
      <w:r>
        <w:rPr>
          <w:rFonts w:eastAsia="Arial"/>
          <w:lang w:val="fr-CA"/>
        </w:rPr>
        <w:tab/>
        <w:t>Moteur : dimensionné selon les conditions de la porte.</w:t>
      </w:r>
    </w:p>
    <w:p w14:paraId="0A3AD93F" w14:textId="77777777" w:rsidR="004C5C3E" w:rsidRDefault="003A16CC">
      <w:pPr>
        <w:pStyle w:val="Level4"/>
        <w:rPr>
          <w:rFonts w:cs="Arial"/>
        </w:rPr>
      </w:pPr>
      <w:r>
        <w:rPr>
          <w:rFonts w:eastAsia="Arial" w:cs="Arial"/>
          <w:lang w:val="fr-CA"/>
        </w:rPr>
        <w:t xml:space="preserve"> </w:t>
      </w:r>
      <w:r>
        <w:rPr>
          <w:rFonts w:eastAsia="Arial" w:cs="Arial"/>
          <w:lang w:val="fr-CA"/>
        </w:rPr>
        <w:tab/>
        <w:t>Enceinte : NEMA 1.</w:t>
      </w:r>
    </w:p>
    <w:p w14:paraId="0EACFB64"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 xml:space="preserve">Taux de déplacement : de 20 à 23 cm/s (8 à 9 po/s). </w:t>
      </w:r>
    </w:p>
    <w:p w14:paraId="1D34D2F8" w14:textId="77777777" w:rsidR="004C5C3E" w:rsidRDefault="003A16CC">
      <w:pPr>
        <w:pStyle w:val="Level4"/>
        <w:rPr>
          <w:lang w:val="fr-CA"/>
        </w:rPr>
      </w:pPr>
      <w:r>
        <w:rPr>
          <w:rFonts w:eastAsia="Arial"/>
          <w:lang w:val="fr-CA"/>
        </w:rPr>
        <w:t xml:space="preserve"> </w:t>
      </w:r>
      <w:r>
        <w:rPr>
          <w:rFonts w:eastAsia="Arial"/>
          <w:lang w:val="fr-CA"/>
        </w:rPr>
        <w:tab/>
        <w:t xml:space="preserve">Récepteur radio : </w:t>
      </w:r>
      <w:r>
        <w:rPr>
          <w:sz w:val="24"/>
          <w:szCs w:val="24"/>
          <w:lang w:val="en-CA"/>
        </w:rPr>
        <w:fldChar w:fldCharType="begin"/>
      </w:r>
      <w:r>
        <w:rPr>
          <w:sz w:val="24"/>
          <w:szCs w:val="24"/>
          <w:lang w:val="fr-CA"/>
        </w:rPr>
        <w:instrText xml:space="preserve"> SEQ CHAPTER \h \r 1</w:instrText>
      </w:r>
      <w:r>
        <w:rPr>
          <w:sz w:val="24"/>
          <w:szCs w:val="24"/>
          <w:lang w:val="en-CA"/>
        </w:rPr>
        <w:fldChar w:fldCharType="end"/>
      </w:r>
      <w:r>
        <w:rPr>
          <w:rFonts w:eastAsia="Arial"/>
          <w:lang w:val="fr-CA"/>
        </w:rPr>
        <w:t xml:space="preserve">Récepteur 315 MHz; accepte les télécommandes Security+ avec technologie de code variable et les télécommandes de commutateur DIP binaires. </w:t>
      </w:r>
    </w:p>
    <w:p w14:paraId="0E8E2AF2" w14:textId="77777777" w:rsidR="004C5C3E" w:rsidRDefault="003A16CC">
      <w:pPr>
        <w:pStyle w:val="SpecPara4"/>
        <w:autoSpaceDE w:val="0"/>
        <w:autoSpaceDN w:val="0"/>
        <w:adjustRightInd w:val="0"/>
        <w:rPr>
          <w:rFonts w:cs="Arial"/>
          <w:lang w:val="fr-CA"/>
        </w:rPr>
      </w:pPr>
      <w:r>
        <w:rPr>
          <w:rFonts w:eastAsia="Arial"/>
          <w:lang w:val="fr-CA"/>
        </w:rPr>
        <w:tab/>
        <w:t xml:space="preserve">Station de commande : </w:t>
      </w:r>
      <w:r>
        <w:rPr>
          <w:rFonts w:eastAsia="Arial"/>
          <w:color w:val="FF0000"/>
          <w:lang w:val="fr-CA"/>
        </w:rPr>
        <w:t>[Type de bouton-poussoir à trois positions]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7F1237E3" w14:textId="77777777" w:rsidR="004C5C3E" w:rsidRDefault="003A16CC">
      <w:pPr>
        <w:pStyle w:val="SpecPara4"/>
        <w:autoSpaceDE w:val="0"/>
        <w:autoSpaceDN w:val="0"/>
        <w:adjustRightInd w:val="0"/>
        <w:rPr>
          <w:rFonts w:cs="Arial"/>
          <w:lang w:val="fr-CA"/>
        </w:rPr>
      </w:pPr>
      <w:r>
        <w:rPr>
          <w:rFonts w:eastAsia="Arial"/>
          <w:lang w:val="fr-CA"/>
        </w:rPr>
        <w:tab/>
        <w:t xml:space="preserve">Télécommandes : </w:t>
      </w:r>
      <w:r>
        <w:rPr>
          <w:rFonts w:eastAsia="Arial"/>
          <w:color w:val="FF0000"/>
          <w:lang w:val="fr-CA"/>
        </w:rPr>
        <w:t xml:space="preserve">[DIP à trois boutons.] [deux boutons Security+.] [Code variable à un bouton Security+] [Code variable à trois boutons Security+.] </w:t>
      </w:r>
    </w:p>
    <w:p w14:paraId="78F70595"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boîtier rigide.] [</w:t>
      </w:r>
      <w:proofErr w:type="spellStart"/>
      <w:r>
        <w:rPr>
          <w:rFonts w:eastAsia="Arial" w:cs="Arial"/>
          <w:color w:val="FF0000"/>
          <w:lang w:val="fr-CA"/>
        </w:rPr>
        <w:t>Œils</w:t>
      </w:r>
      <w:proofErr w:type="spellEnd"/>
      <w:r>
        <w:rPr>
          <w:rFonts w:eastAsia="Arial" w:cs="Arial"/>
          <w:color w:val="FF0000"/>
          <w:lang w:val="fr-CA"/>
        </w:rPr>
        <w:t xml:space="preserve"> électroniques, boîtier flexible.] [Rideau lumineux.] [Système de capteur réfléchissant.] [Système de bordure de détection.] [Système de bordure de détection optique.]</w:t>
      </w:r>
    </w:p>
    <w:p w14:paraId="379E2ABA" w14:textId="77777777" w:rsidR="004C5C3E" w:rsidRDefault="003A16CC">
      <w:pPr>
        <w:pStyle w:val="Level4"/>
        <w:rPr>
          <w:rFonts w:cs="Arial"/>
        </w:rPr>
      </w:pPr>
      <w:r>
        <w:rPr>
          <w:rFonts w:eastAsia="Arial"/>
          <w:lang w:val="fr-CA"/>
        </w:rPr>
        <w:tab/>
        <w:t>Protection secondaire non surveillée contre le piégeage :</w:t>
      </w:r>
      <w:r>
        <w:rPr>
          <w:rFonts w:eastAsia="Arial" w:cs="Arial"/>
          <w:lang w:val="fr-CA"/>
        </w:rPr>
        <w:t xml:space="preserve"> </w:t>
      </w:r>
      <w:r>
        <w:rPr>
          <w:rFonts w:eastAsia="Arial" w:cs="Arial"/>
          <w:color w:val="FF0000"/>
          <w:lang w:val="fr-CA"/>
        </w:rPr>
        <w:t>[</w:t>
      </w:r>
      <w:r>
        <w:rPr>
          <w:rFonts w:eastAsia="Arial"/>
          <w:color w:val="FF0000"/>
          <w:lang w:val="fr-CA"/>
        </w:rPr>
        <w:t>R</w:t>
      </w:r>
      <w:r>
        <w:rPr>
          <w:rFonts w:eastAsia="Arial" w:cs="Arial"/>
          <w:color w:val="FF0000"/>
          <w:lang w:val="fr-CA"/>
        </w:rPr>
        <w:t>ideau lumineux.] [Rebord de détection pneumatique.]</w:t>
      </w:r>
    </w:p>
    <w:p w14:paraId="49D9F650" w14:textId="77777777" w:rsidR="004C5C3E" w:rsidRDefault="004C5C3E">
      <w:pPr>
        <w:pStyle w:val="SpecPara4"/>
        <w:numPr>
          <w:ilvl w:val="0"/>
          <w:numId w:val="0"/>
        </w:numPr>
        <w:rPr>
          <w:rFonts w:cs="Arial"/>
          <w:color w:val="0070C0"/>
        </w:rPr>
      </w:pPr>
    </w:p>
    <w:p w14:paraId="5E166507" w14:textId="77777777" w:rsidR="004C5C3E" w:rsidRDefault="003A16CC">
      <w:pPr>
        <w:pStyle w:val="Level1"/>
      </w:pPr>
      <w:r>
        <w:rPr>
          <w:rFonts w:eastAsia="Arial"/>
          <w:bCs/>
          <w:lang w:val="fr-CA"/>
        </w:rPr>
        <w:lastRenderedPageBreak/>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2071" w14:textId="77777777" w:rsidR="00617BCE" w:rsidRDefault="00617BCE">
      <w:r>
        <w:separator/>
      </w:r>
    </w:p>
  </w:endnote>
  <w:endnote w:type="continuationSeparator" w:id="0">
    <w:p w14:paraId="100BDA2C" w14:textId="77777777" w:rsidR="00617BCE" w:rsidRDefault="0061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D4F5" w14:textId="77777777" w:rsidR="00617BCE" w:rsidRDefault="00617BCE">
      <w:r>
        <w:separator/>
      </w:r>
    </w:p>
  </w:footnote>
  <w:footnote w:type="continuationSeparator" w:id="0">
    <w:p w14:paraId="4E9BBF73" w14:textId="77777777" w:rsidR="00617BCE" w:rsidRDefault="0061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3A16CC"/>
    <w:rsid w:val="004C5C3E"/>
    <w:rsid w:val="004E233F"/>
    <w:rsid w:val="00617BCE"/>
    <w:rsid w:val="00862B6D"/>
    <w:rsid w:val="00DC2F3C"/>
    <w:rsid w:val="00E7660E"/>
    <w:rsid w:val="00F356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0</TotalTime>
  <Pages>2</Pages>
  <Words>364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2022-05-24T18:46:00Z</dcterms:created>
  <dcterms:modified xsi:type="dcterms:W3CDTF">2022-05-24T18:46:00Z</dcterms:modified>
</cp:coreProperties>
</file>