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5F4237D4"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7F529782" w14:textId="77777777" w:rsidR="004F2AF5" w:rsidRDefault="007E67B6">
      <w:pPr>
        <w:pStyle w:val="Level2"/>
        <w:rPr>
          <w:sz w:val="18"/>
          <w:szCs w:val="18"/>
        </w:rPr>
      </w:pPr>
      <w:r>
        <w:rPr>
          <w:rFonts w:eastAsia="Arial"/>
          <w:sz w:val="18"/>
          <w:szCs w:val="18"/>
          <w:lang w:val="es-MX"/>
        </w:rPr>
        <w:tab/>
        <w:t>COMPONENTES: SISTEMA DE CONTROL DE ACCESO</w:t>
      </w:r>
    </w:p>
    <w:p w14:paraId="63DF60DA" w14:textId="406E5963" w:rsidR="004F2AF5" w:rsidRDefault="007E67B6">
      <w:pPr>
        <w:pStyle w:val="Level3"/>
        <w:rPr>
          <w:sz w:val="18"/>
          <w:szCs w:val="18"/>
        </w:rPr>
      </w:pPr>
      <w:r>
        <w:rPr>
          <w:rFonts w:eastAsia="Arial"/>
          <w:sz w:val="18"/>
          <w:szCs w:val="18"/>
          <w:lang w:val="es-MX"/>
        </w:rPr>
        <w:tab/>
      </w:r>
      <w:r>
        <w:rPr>
          <w:sz w:val="22"/>
          <w:szCs w:val="22"/>
          <w:lang w:val="en-CA"/>
        </w:rPr>
        <w:fldChar w:fldCharType="begin"/>
      </w:r>
      <w:r>
        <w:rPr>
          <w:sz w:val="22"/>
          <w:szCs w:val="22"/>
          <w:lang w:val="en-CA"/>
        </w:rPr>
        <w:instrText xml:space="preserve"> SEQ CHAPTER \h \r 1</w:instrText>
      </w:r>
      <w:r>
        <w:rPr>
          <w:sz w:val="22"/>
          <w:szCs w:val="22"/>
          <w:lang w:val="en-CA"/>
        </w:rPr>
        <w:fldChar w:fldCharType="end"/>
      </w:r>
      <w:r>
        <w:rPr>
          <w:rFonts w:eastAsia="Arial"/>
          <w:sz w:val="18"/>
          <w:szCs w:val="18"/>
          <w:lang w:val="es-MX"/>
        </w:rPr>
        <w:t>Identificación de radiofrecuencia de largo alcance (RFID) y lectores de tarjetas de identificación vehiculares:</w:t>
      </w:r>
    </w:p>
    <w:p w14:paraId="0B9378AB"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LMSC 1000.</w:t>
      </w:r>
    </w:p>
    <w:p w14:paraId="3388FA0F"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Tarjetas de identificación: </w:t>
      </w:r>
      <w:r>
        <w:rPr>
          <w:rFonts w:eastAsia="Arial"/>
          <w:color w:val="FF0000"/>
          <w:sz w:val="18"/>
          <w:szCs w:val="18"/>
          <w:lang w:val="es-MX"/>
        </w:rPr>
        <w:t>[RFID de doble propósito para parabrisas o faros delanteros]. [Tarjeta de identificación RFID colgante para espejo retrovisor].</w:t>
      </w:r>
    </w:p>
    <w:p w14:paraId="28EDE54C" w14:textId="77777777" w:rsidR="004F2AF5" w:rsidRDefault="007E67B6">
      <w:pPr>
        <w:pStyle w:val="Level4"/>
        <w:rPr>
          <w:color w:val="000000" w:themeColor="text1"/>
          <w:sz w:val="18"/>
          <w:szCs w:val="18"/>
        </w:rPr>
      </w:pPr>
      <w:r>
        <w:rPr>
          <w:rFonts w:eastAsia="Arial"/>
          <w:color w:val="FF0000"/>
          <w:sz w:val="18"/>
          <w:szCs w:val="18"/>
          <w:lang w:val="es-MX"/>
        </w:rPr>
        <w:t xml:space="preserve"> </w:t>
      </w:r>
      <w:r>
        <w:rPr>
          <w:rFonts w:eastAsia="Arial"/>
          <w:color w:val="FF0000"/>
          <w:sz w:val="18"/>
          <w:szCs w:val="18"/>
          <w:lang w:val="es-MX"/>
        </w:rPr>
        <w:tab/>
      </w:r>
      <w:r>
        <w:rPr>
          <w:rFonts w:eastAsia="Arial"/>
          <w:color w:val="000000"/>
          <w:sz w:val="18"/>
          <w:szCs w:val="18"/>
          <w:lang w:val="es-MX"/>
        </w:rPr>
        <w:t>Certificado por UL.</w:t>
      </w:r>
    </w:p>
    <w:p w14:paraId="498251E7" w14:textId="77777777" w:rsidR="004F2AF5" w:rsidRDefault="007E67B6">
      <w:pPr>
        <w:pStyle w:val="Level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Cumple con la normatividad de la FCC e Industry Canada.</w:t>
      </w:r>
    </w:p>
    <w:p w14:paraId="2C08DC36" w14:textId="100E7368" w:rsidR="004F2AF5" w:rsidRDefault="004F2AF5" w:rsidP="00F356E7">
      <w:pPr>
        <w:pStyle w:val="Level2"/>
        <w:numPr>
          <w:ilvl w:val="0"/>
          <w:numId w:val="0"/>
        </w:numPr>
        <w:ind w:left="547"/>
        <w:rPr>
          <w:rFonts w:eastAsia="Arial"/>
          <w:sz w:val="18"/>
          <w:szCs w:val="18"/>
          <w:lang w:val="es-MX"/>
        </w:rPr>
      </w:pPr>
    </w:p>
    <w:p w14:paraId="156E05FF" w14:textId="38E8B75E" w:rsidR="00F356E7" w:rsidRDefault="00F356E7" w:rsidP="00F356E7">
      <w:pPr>
        <w:pStyle w:val="Level2"/>
        <w:numPr>
          <w:ilvl w:val="0"/>
          <w:numId w:val="0"/>
        </w:numPr>
        <w:ind w:left="547"/>
        <w:rPr>
          <w:rFonts w:eastAsia="Arial"/>
          <w:sz w:val="18"/>
          <w:szCs w:val="18"/>
          <w:lang w:val="es-MX"/>
        </w:rPr>
      </w:pPr>
    </w:p>
    <w:p w14:paraId="52CF5FAC" w14:textId="77777777" w:rsidR="00F356E7" w:rsidRDefault="00F356E7" w:rsidP="00F356E7">
      <w:pPr>
        <w:pStyle w:val="Level2"/>
        <w:numPr>
          <w:ilvl w:val="0"/>
          <w:numId w:val="0"/>
        </w:numPr>
        <w:ind w:left="547"/>
        <w:rPr>
          <w:sz w:val="18"/>
          <w:szCs w:val="18"/>
        </w:rPr>
      </w:pP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769A17E8"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4FB" w14:textId="77777777" w:rsidR="00697B29" w:rsidRDefault="00697B29">
      <w:r>
        <w:separator/>
      </w:r>
    </w:p>
  </w:endnote>
  <w:endnote w:type="continuationSeparator" w:id="0">
    <w:p w14:paraId="4381D2A4" w14:textId="77777777" w:rsidR="00697B29" w:rsidRDefault="006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0F05" w14:textId="77777777" w:rsidR="00697B29" w:rsidRDefault="00697B29">
      <w:r>
        <w:separator/>
      </w:r>
    </w:p>
  </w:footnote>
  <w:footnote w:type="continuationSeparator" w:id="0">
    <w:p w14:paraId="090EE8AD" w14:textId="77777777" w:rsidR="00697B29" w:rsidRDefault="0069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1A2494"/>
    <w:rsid w:val="003723CF"/>
    <w:rsid w:val="004F2AF5"/>
    <w:rsid w:val="00697B29"/>
    <w:rsid w:val="007E67B6"/>
    <w:rsid w:val="00CC31A8"/>
    <w:rsid w:val="00E43982"/>
    <w:rsid w:val="00F356E7"/>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2440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2022-07-28T20:34:00Z</dcterms:created>
  <dcterms:modified xsi:type="dcterms:W3CDTF">2022-07-28T20:42:00Z</dcterms:modified>
</cp:coreProperties>
</file>