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4A57F8">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56" w14:textId="77777777" w:rsidR="00E57BBF" w:rsidRDefault="00DA14C3">
      <w:pPr>
        <w:pStyle w:val="Level3"/>
      </w:pPr>
      <w:r>
        <w:rPr>
          <w:rFonts w:eastAsia="Arial"/>
          <w:lang w:val="es-MX"/>
        </w:rPr>
        <w:tab/>
        <w:t>Operadores de puerta:</w:t>
      </w:r>
    </w:p>
    <w:p w14:paraId="774F6E57" w14:textId="77777777" w:rsidR="00E57BBF" w:rsidRDefault="00DA14C3">
      <w:pPr>
        <w:pStyle w:val="Level4"/>
      </w:pPr>
      <w:r>
        <w:rPr>
          <w:rFonts w:eastAsia="Arial"/>
          <w:lang w:val="es-MX"/>
        </w:rPr>
        <w:tab/>
        <w:t>Modelo: MJ.</w:t>
      </w:r>
    </w:p>
    <w:p w14:paraId="774F6E58"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59" w14:textId="77777777" w:rsidR="00E57BBF" w:rsidRDefault="00DA14C3">
      <w:pPr>
        <w:pStyle w:val="Level4"/>
      </w:pPr>
      <w:r>
        <w:rPr>
          <w:rFonts w:eastAsia="Arial"/>
          <w:lang w:val="es-MX"/>
        </w:rPr>
        <w:tab/>
        <w:t>Montaje: Pared.</w:t>
      </w:r>
    </w:p>
    <w:p w14:paraId="774F6E5A" w14:textId="77777777" w:rsidR="00E57BBF" w:rsidRDefault="00DA14C3">
      <w:pPr>
        <w:pStyle w:val="Level4"/>
      </w:pPr>
      <w:r>
        <w:rPr>
          <w:rFonts w:eastAsia="Arial"/>
          <w:lang w:val="es-MX"/>
        </w:rPr>
        <w:tab/>
        <w:t>Desconexión de emergencia: Nivel de piso.</w:t>
      </w:r>
    </w:p>
    <w:p w14:paraId="774F6E5B"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5C"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5D"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Motor: Dimensionado según las condiciones de la puerta.</w:t>
      </w:r>
    </w:p>
    <w:p w14:paraId="774F6E5E"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5F"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60" w14:textId="77777777" w:rsidR="00E57BBF" w:rsidRDefault="00DA14C3">
      <w:pPr>
        <w:pStyle w:val="Level4"/>
      </w:pPr>
      <w:r>
        <w:rPr>
          <w:rFonts w:eastAsia="Arial"/>
          <w:lang w:val="es-MX"/>
        </w:rPr>
        <w:t xml:space="preserve"> </w:t>
      </w:r>
      <w:r>
        <w:rPr>
          <w:rFonts w:eastAsia="Arial"/>
          <w:lang w:val="es-MX"/>
        </w:rPr>
        <w:tab/>
        <w:t xml:space="preserve">Receptor de radio de 315 MHz: </w:t>
      </w:r>
      <w:r>
        <w:rPr>
          <w:lang w:val="en-CA"/>
        </w:rPr>
        <w:fldChar w:fldCharType="begin"/>
      </w:r>
      <w:r>
        <w:rPr>
          <w:lang w:val="en-CA"/>
        </w:rPr>
        <w:instrText xml:space="preserve"> SEQ CHAPTER \h \r 1</w:instrText>
      </w:r>
      <w:r w:rsidR="004A57F8">
        <w:rPr>
          <w:lang w:val="en-CA"/>
        </w:rPr>
        <w:fldChar w:fldCharType="separate"/>
      </w:r>
      <w:r>
        <w:rPr>
          <w:lang w:val="en-CA"/>
        </w:rPr>
        <w:fldChar w:fldCharType="end"/>
      </w:r>
      <w:r>
        <w:rPr>
          <w:rFonts w:eastAsia="Arial"/>
          <w:lang w:val="es-MX"/>
        </w:rPr>
        <w:t xml:space="preserve">Compatible con controles remotos con tecnología de códigos cambiantes y controles remotos con interruptor DIP binario Security+. </w:t>
      </w:r>
    </w:p>
    <w:p w14:paraId="774F6E61"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6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un botón]. [Security+ con código variable de tres botones].</w:t>
      </w:r>
    </w:p>
    <w:p w14:paraId="774F6E6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64" w14:textId="77777777"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E65" w14:textId="77777777" w:rsidR="00E57BBF" w:rsidRDefault="00E57BBF">
      <w:pPr>
        <w:pStyle w:val="Level4"/>
        <w:numPr>
          <w:ilvl w:val="0"/>
          <w:numId w:val="0"/>
        </w:numPr>
        <w:rPr>
          <w:rFonts w:cs="Arial"/>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321A" w14:textId="77777777" w:rsidR="004A57F8" w:rsidRDefault="004A57F8">
      <w:r>
        <w:separator/>
      </w:r>
    </w:p>
  </w:endnote>
  <w:endnote w:type="continuationSeparator" w:id="0">
    <w:p w14:paraId="0E9D79C3" w14:textId="77777777" w:rsidR="004A57F8" w:rsidRDefault="004A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72A" w14:textId="77777777" w:rsidR="004A57F8" w:rsidRDefault="004A57F8">
      <w:r>
        <w:separator/>
      </w:r>
    </w:p>
  </w:footnote>
  <w:footnote w:type="continuationSeparator" w:id="0">
    <w:p w14:paraId="79FF367A" w14:textId="77777777" w:rsidR="004A57F8" w:rsidRDefault="004A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25072A"/>
    <w:rsid w:val="003460D1"/>
    <w:rsid w:val="004A57F8"/>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2022-05-24T17:35:00Z</dcterms:created>
  <dcterms:modified xsi:type="dcterms:W3CDTF">2022-05-24T17:36:00Z</dcterms:modified>
</cp:coreProperties>
</file>