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D847" w14:textId="77777777" w:rsidR="00EE44C1" w:rsidRDefault="00F73CAC">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066BD848"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66BD849"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066BD84A"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66BD84B"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066BD84C"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066BD84D"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066BD84E" w14:textId="77777777" w:rsidR="00EE44C1" w:rsidRDefault="00EE44C1">
      <w:pPr>
        <w:pStyle w:val="Header"/>
        <w:tabs>
          <w:tab w:val="clear" w:pos="4680"/>
          <w:tab w:val="clear" w:pos="9360"/>
          <w:tab w:val="center" w:pos="5040"/>
          <w:tab w:val="right" w:pos="10080"/>
        </w:tabs>
        <w:contextualSpacing/>
        <w:rPr>
          <w:rFonts w:cs="Arial"/>
          <w:color w:val="0070C0"/>
        </w:rPr>
      </w:pPr>
    </w:p>
    <w:p w14:paraId="066BD84F"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066BD850"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66BD851"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066BD852"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66BD853"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066BD854"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66BD855"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066BD856"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66BD857"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066BD858"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66BD859"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066BD85A"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66BD85B" w14:textId="77777777" w:rsidR="00EE44C1" w:rsidRDefault="00F73CAC">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066BD85C"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66BD85D"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066BD85E"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066BD85F" w14:textId="77777777" w:rsidR="00EE44C1" w:rsidRDefault="00F73CA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066BD860" w14:textId="77777777" w:rsidR="00EE44C1" w:rsidRDefault="00EE44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66BD861" w14:textId="77777777" w:rsidR="00EE44C1" w:rsidRDefault="00F73CAC">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066BD862" w14:textId="77777777" w:rsidR="00EE44C1" w:rsidRDefault="00EE44C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66BD863" w14:textId="77777777" w:rsidR="00EE44C1" w:rsidRDefault="00F73CAC">
      <w:pPr>
        <w:pStyle w:val="Level1"/>
      </w:pPr>
      <w:r>
        <w:rPr>
          <w:rFonts w:eastAsia="Arial"/>
          <w:bCs/>
          <w:lang w:val="fr-CA"/>
        </w:rPr>
        <w:tab/>
        <w:t>GÉNÉRALITÉS</w:t>
      </w:r>
    </w:p>
    <w:p w14:paraId="066BD864" w14:textId="77777777" w:rsidR="00EE44C1" w:rsidRDefault="00EE44C1">
      <w:pPr>
        <w:pStyle w:val="Level2"/>
        <w:numPr>
          <w:ilvl w:val="0"/>
          <w:numId w:val="0"/>
        </w:numPr>
      </w:pPr>
    </w:p>
    <w:p w14:paraId="066BD865" w14:textId="77777777" w:rsidR="00EE44C1" w:rsidRDefault="00F73CAC">
      <w:pPr>
        <w:pStyle w:val="Level2"/>
      </w:pPr>
      <w:r>
        <w:rPr>
          <w:rFonts w:eastAsia="Arial"/>
          <w:lang w:val="fr-CA"/>
        </w:rPr>
        <w:tab/>
        <w:t>SOU</w:t>
      </w:r>
      <w:r>
        <w:rPr>
          <w:rFonts w:eastAsia="Arial"/>
          <w:lang w:val="fr-CA"/>
        </w:rPr>
        <w:t>MISSIONS</w:t>
      </w:r>
    </w:p>
    <w:p w14:paraId="066BD866" w14:textId="77777777" w:rsidR="00EE44C1" w:rsidRDefault="00F73CAC">
      <w:r>
        <w:t xml:space="preserve"> </w:t>
      </w:r>
    </w:p>
    <w:p w14:paraId="066BD867" w14:textId="77777777" w:rsidR="00EE44C1" w:rsidRDefault="00F73CAC">
      <w:pPr>
        <w:pStyle w:val="Level3"/>
      </w:pPr>
      <w:r>
        <w:rPr>
          <w:rFonts w:eastAsia="Arial"/>
          <w:lang w:val="fr-CA"/>
        </w:rPr>
        <w:tab/>
        <w:t>Soumissions d’action :</w:t>
      </w:r>
    </w:p>
    <w:p w14:paraId="066BD868" w14:textId="77777777" w:rsidR="00EE44C1" w:rsidRDefault="00F73CAC">
      <w:pPr>
        <w:pStyle w:val="Level4"/>
      </w:pPr>
      <w:r>
        <w:rPr>
          <w:rFonts w:eastAsia="Arial"/>
          <w:lang w:val="fr-CA"/>
        </w:rPr>
        <w:tab/>
        <w:t>Dessins d’atelier : illustrer les produits, l’installation et la relation avec la construction adjacente.</w:t>
      </w:r>
    </w:p>
    <w:p w14:paraId="066BD869" w14:textId="77777777" w:rsidR="00EE44C1" w:rsidRDefault="00F73CAC">
      <w:pPr>
        <w:pStyle w:val="Level4"/>
      </w:pPr>
      <w:r>
        <w:rPr>
          <w:rFonts w:eastAsia="Arial"/>
          <w:lang w:val="fr-CA"/>
        </w:rPr>
        <w:tab/>
        <w:t>Données sur le produit : Données descriptives du fabricant et attributs du produit.</w:t>
      </w:r>
    </w:p>
    <w:p w14:paraId="066BD86A" w14:textId="77777777" w:rsidR="00EE44C1" w:rsidRDefault="00EE44C1"/>
    <w:p w14:paraId="066BD86B" w14:textId="77777777" w:rsidR="00EE44C1" w:rsidRDefault="00F73CAC">
      <w:pPr>
        <w:pStyle w:val="Level3"/>
      </w:pPr>
      <w:r>
        <w:rPr>
          <w:rFonts w:eastAsia="Arial"/>
          <w:lang w:val="fr-CA"/>
        </w:rPr>
        <w:tab/>
        <w:t>Soumissions de clôture :</w:t>
      </w:r>
    </w:p>
    <w:p w14:paraId="066BD86C" w14:textId="77777777" w:rsidR="00EE44C1" w:rsidRDefault="00F73CAC">
      <w:pPr>
        <w:pStyle w:val="Level4"/>
      </w:pPr>
      <w:r>
        <w:rPr>
          <w:rFonts w:eastAsia="Arial"/>
          <w:lang w:val="fr-CA"/>
        </w:rPr>
        <w:tab/>
        <w:t>D</w:t>
      </w:r>
      <w:r>
        <w:rPr>
          <w:rFonts w:eastAsia="Arial"/>
          <w:lang w:val="fr-CA"/>
        </w:rPr>
        <w:t>onnées de fonctionnement et d’entretien</w:t>
      </w:r>
    </w:p>
    <w:p w14:paraId="066BD86D" w14:textId="77777777" w:rsidR="00EE44C1" w:rsidRDefault="00EE44C1">
      <w:bookmarkStart w:id="1" w:name="_Hlk37778670"/>
    </w:p>
    <w:p w14:paraId="066BD86E" w14:textId="77777777" w:rsidR="00EE44C1" w:rsidRDefault="00F73CAC">
      <w:pPr>
        <w:pStyle w:val="Level2"/>
      </w:pPr>
      <w:r>
        <w:rPr>
          <w:rFonts w:eastAsia="Arial"/>
          <w:lang w:val="fr-CA"/>
        </w:rPr>
        <w:tab/>
        <w:t>ASSURANCE DE LA QUALITÉ</w:t>
      </w:r>
    </w:p>
    <w:p w14:paraId="066BD86F" w14:textId="77777777" w:rsidR="00EE44C1" w:rsidRDefault="00EE44C1"/>
    <w:p w14:paraId="066BD870" w14:textId="77777777" w:rsidR="00EE44C1" w:rsidRDefault="00F73CAC">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066BD871" w14:textId="77777777" w:rsidR="00EE44C1" w:rsidRDefault="00EE44C1"/>
    <w:p w14:paraId="066BD872" w14:textId="77777777" w:rsidR="00EE44C1" w:rsidRDefault="00F73CAC">
      <w:pPr>
        <w:pStyle w:val="Level2"/>
      </w:pPr>
      <w:r>
        <w:rPr>
          <w:rFonts w:eastAsia="Arial"/>
          <w:lang w:val="fr-CA"/>
        </w:rPr>
        <w:tab/>
        <w:t>GARANTIE</w:t>
      </w:r>
    </w:p>
    <w:p w14:paraId="066BD873" w14:textId="77777777" w:rsidR="00EE44C1" w:rsidRDefault="00EE44C1">
      <w:pPr>
        <w:rPr>
          <w:rFonts w:cs="Arial"/>
        </w:rPr>
      </w:pPr>
    </w:p>
    <w:p w14:paraId="066BD874" w14:textId="77777777" w:rsidR="00EE44C1" w:rsidRDefault="00F73CAC">
      <w:pPr>
        <w:rPr>
          <w:rFonts w:cs="Arial"/>
          <w:color w:val="0070C0"/>
        </w:rPr>
      </w:pPr>
      <w:r>
        <w:rPr>
          <w:rFonts w:eastAsia="Arial" w:cs="Arial"/>
          <w:color w:val="0070C0"/>
          <w:lang w:val="fr-CA"/>
        </w:rPr>
        <w:t>Reportez-vous aux données techniques pour les garanties disponibles pour chaque modèle d’actionneur.</w:t>
      </w:r>
    </w:p>
    <w:p w14:paraId="066BD875" w14:textId="77777777" w:rsidR="00EE44C1" w:rsidRDefault="00EE44C1">
      <w:pPr>
        <w:rPr>
          <w:rFonts w:cs="Arial"/>
          <w:vanish/>
          <w:color w:val="0070C0"/>
        </w:rPr>
      </w:pPr>
    </w:p>
    <w:p w14:paraId="066BD876" w14:textId="77777777" w:rsidR="00EE44C1" w:rsidRDefault="00F73CAC">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066BD877" w14:textId="77777777" w:rsidR="00EE44C1" w:rsidRDefault="00EE44C1"/>
    <w:p w14:paraId="066BD878" w14:textId="77777777" w:rsidR="00EE44C1" w:rsidRDefault="00F73CAC">
      <w:pPr>
        <w:pStyle w:val="Level1"/>
      </w:pPr>
      <w:r>
        <w:rPr>
          <w:rFonts w:eastAsia="Arial"/>
          <w:bCs/>
          <w:lang w:val="fr-CA"/>
        </w:rPr>
        <w:tab/>
        <w:t>PRODUITS</w:t>
      </w:r>
    </w:p>
    <w:p w14:paraId="066BD879" w14:textId="77777777" w:rsidR="00EE44C1" w:rsidRDefault="00EE44C1"/>
    <w:p w14:paraId="066BD87A" w14:textId="77777777" w:rsidR="00EE44C1" w:rsidRDefault="00F73CAC">
      <w:pPr>
        <w:pStyle w:val="Level2"/>
      </w:pPr>
      <w:r>
        <w:rPr>
          <w:rFonts w:eastAsia="Arial"/>
          <w:lang w:val="fr-CA"/>
        </w:rPr>
        <w:tab/>
        <w:t>FABRICANTS</w:t>
      </w:r>
    </w:p>
    <w:p w14:paraId="066BD87B" w14:textId="77777777" w:rsidR="00EE44C1" w:rsidRDefault="00EE44C1"/>
    <w:p w14:paraId="066BD87C" w14:textId="15F0F6E9" w:rsidR="00EE44C1" w:rsidRDefault="00F73CAC">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066BD87D" w14:textId="77777777" w:rsidR="00EE44C1" w:rsidRDefault="00EE44C1">
      <w:pPr>
        <w:pStyle w:val="Level4"/>
        <w:numPr>
          <w:ilvl w:val="0"/>
          <w:numId w:val="0"/>
        </w:numPr>
      </w:pPr>
    </w:p>
    <w:p w14:paraId="066BD87E" w14:textId="77777777" w:rsidR="00EE44C1" w:rsidRDefault="00F73CAC">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066BD87F" w14:textId="77777777" w:rsidR="00EE44C1" w:rsidRDefault="00EE44C1"/>
    <w:p w14:paraId="066BD880" w14:textId="77777777" w:rsidR="00EE44C1" w:rsidRDefault="00F73CAC">
      <w:pPr>
        <w:pStyle w:val="Level2"/>
      </w:pPr>
      <w:r>
        <w:rPr>
          <w:rFonts w:eastAsia="Arial"/>
          <w:lang w:val="fr-CA"/>
        </w:rPr>
        <w:t xml:space="preserve"> </w:t>
      </w:r>
      <w:r>
        <w:rPr>
          <w:rFonts w:eastAsia="Arial"/>
          <w:lang w:val="fr-CA"/>
        </w:rPr>
        <w:tab/>
        <w:t>UNITÉS FABRIQUÉES</w:t>
      </w:r>
    </w:p>
    <w:p w14:paraId="066BD881" w14:textId="77777777" w:rsidR="00EE44C1" w:rsidRDefault="00EE44C1"/>
    <w:p w14:paraId="066BD89E" w14:textId="77777777" w:rsidR="00EE44C1" w:rsidRDefault="00F73CAC">
      <w:pPr>
        <w:rPr>
          <w:rFonts w:cs="Arial"/>
          <w:color w:val="0070C0"/>
        </w:rPr>
      </w:pPr>
      <w:r>
        <w:rPr>
          <w:rFonts w:eastAsia="Arial" w:cs="Arial"/>
          <w:color w:val="0070C0"/>
          <w:lang w:val="fr-CA"/>
        </w:rPr>
        <w:t>Conservez les éléments suivants pour un actionneur résidentiel linéaire alimenté par énergie solaire pour barrières à pivotement ayant une largeur maximale de 4,8 m (</w:t>
      </w:r>
      <w:r>
        <w:rPr>
          <w:rFonts w:eastAsia="Arial" w:cs="Arial"/>
          <w:color w:val="0070C0"/>
          <w:lang w:val="fr-CA"/>
        </w:rPr>
        <w:t>16 pi), un poids maximal de 385,5 kg (850 lb) et jusqu’à 100 cycles par jour. Reportez-vous à la documentation technique de LiftMaster pour connaître les détails supplémentaires du produit.</w:t>
      </w:r>
    </w:p>
    <w:p w14:paraId="066BD89F" w14:textId="77777777" w:rsidR="00EE44C1" w:rsidRDefault="00EE44C1">
      <w:pPr>
        <w:rPr>
          <w:rFonts w:cs="Arial"/>
          <w:vanish/>
          <w:color w:val="0070C0"/>
        </w:rPr>
      </w:pPr>
    </w:p>
    <w:p w14:paraId="066BD8A0" w14:textId="77777777" w:rsidR="00EE44C1" w:rsidRDefault="00F73CAC">
      <w:pPr>
        <w:pStyle w:val="Level3"/>
      </w:pPr>
      <w:r>
        <w:rPr>
          <w:rFonts w:eastAsia="Arial"/>
          <w:lang w:val="fr-CA"/>
        </w:rPr>
        <w:tab/>
        <w:t>Actionneur de barrière à pivotement :</w:t>
      </w:r>
    </w:p>
    <w:p w14:paraId="066BD8A1" w14:textId="77777777" w:rsidR="00EE44C1" w:rsidRDefault="00F73CAC">
      <w:pPr>
        <w:pStyle w:val="Level4"/>
      </w:pPr>
      <w:r>
        <w:rPr>
          <w:rFonts w:eastAsia="Arial"/>
          <w:lang w:val="fr-CA"/>
        </w:rPr>
        <w:tab/>
        <w:t xml:space="preserve">Modèle : LA412UL. </w:t>
      </w:r>
    </w:p>
    <w:p w14:paraId="066BD8A2" w14:textId="77777777" w:rsidR="00EE44C1" w:rsidRDefault="00F73CAC">
      <w:pPr>
        <w:pStyle w:val="Level4"/>
      </w:pPr>
      <w:r>
        <w:rPr>
          <w:rFonts w:eastAsia="Arial"/>
          <w:lang w:val="fr-CA"/>
        </w:rPr>
        <w:t xml:space="preserve"> </w:t>
      </w:r>
      <w:r>
        <w:rPr>
          <w:rFonts w:eastAsia="Arial"/>
          <w:lang w:val="fr-CA"/>
        </w:rPr>
        <w:tab/>
        <w:t>Fonc</w:t>
      </w:r>
      <w:r>
        <w:rPr>
          <w:rFonts w:eastAsia="Arial"/>
          <w:lang w:val="fr-CA"/>
        </w:rPr>
        <w:t xml:space="preserve">tionnement : </w:t>
      </w:r>
      <w:proofErr w:type="spellStart"/>
      <w:r>
        <w:rPr>
          <w:rFonts w:eastAsia="Arial"/>
          <w:lang w:val="fr-CA"/>
        </w:rPr>
        <w:t>Linear</w:t>
      </w:r>
      <w:proofErr w:type="spellEnd"/>
      <w:r>
        <w:rPr>
          <w:rFonts w:eastAsia="Arial"/>
          <w:lang w:val="fr-CA"/>
        </w:rPr>
        <w:t>.</w:t>
      </w:r>
    </w:p>
    <w:p w14:paraId="066BD8A3" w14:textId="77777777" w:rsidR="00EE44C1" w:rsidRDefault="00F73CAC">
      <w:pPr>
        <w:pStyle w:val="Level4"/>
      </w:pPr>
      <w:r>
        <w:rPr>
          <w:rFonts w:eastAsia="Arial"/>
          <w:lang w:val="fr-CA"/>
        </w:rPr>
        <w:t xml:space="preserve"> </w:t>
      </w:r>
      <w:r>
        <w:rPr>
          <w:rFonts w:eastAsia="Arial"/>
          <w:lang w:val="fr-CA"/>
        </w:rPr>
        <w:tab/>
        <w:t>Cycle de service homologué : 100 cycles par jour au maximum.</w:t>
      </w:r>
    </w:p>
    <w:p w14:paraId="066BD8A4" w14:textId="77777777" w:rsidR="00EE44C1" w:rsidRDefault="00F73CAC">
      <w:pPr>
        <w:pStyle w:val="Level4"/>
      </w:pPr>
      <w:r>
        <w:rPr>
          <w:rFonts w:eastAsia="Arial"/>
          <w:lang w:val="fr-CA"/>
        </w:rPr>
        <w:tab/>
        <w:t>Conforme aux normes UL 325, UL 991, ASTM F2200 et CAS C22.2 n° 247.</w:t>
      </w:r>
    </w:p>
    <w:p w14:paraId="066BD8A5" w14:textId="77777777" w:rsidR="00EE44C1" w:rsidRDefault="00F73CAC">
      <w:pPr>
        <w:pStyle w:val="Level4"/>
      </w:pPr>
      <w:r>
        <w:rPr>
          <w:rFonts w:eastAsia="Arial"/>
          <w:lang w:val="fr-CA"/>
        </w:rPr>
        <w:t xml:space="preserve"> </w:t>
      </w:r>
      <w:r>
        <w:rPr>
          <w:rFonts w:eastAsia="Arial"/>
          <w:lang w:val="fr-CA"/>
        </w:rPr>
        <w:tab/>
        <w:t>Alimentation : Solaire :</w:t>
      </w:r>
    </w:p>
    <w:p w14:paraId="066BD8A6" w14:textId="77777777" w:rsidR="00EE44C1" w:rsidRDefault="00F73CAC">
      <w:pPr>
        <w:pStyle w:val="Level4"/>
      </w:pPr>
      <w:r>
        <w:rPr>
          <w:rFonts w:eastAsia="Arial"/>
          <w:lang w:val="fr-CA"/>
        </w:rPr>
        <w:tab/>
        <w:t>Moteur : 12 V </w:t>
      </w:r>
      <w:proofErr w:type="spellStart"/>
      <w:r>
        <w:rPr>
          <w:rFonts w:eastAsia="Arial"/>
          <w:lang w:val="fr-CA"/>
        </w:rPr>
        <w:t>c.c</w:t>
      </w:r>
      <w:proofErr w:type="spellEnd"/>
      <w:r>
        <w:rPr>
          <w:rFonts w:eastAsia="Arial"/>
          <w:lang w:val="fr-CA"/>
        </w:rPr>
        <w:t xml:space="preserve">., type à service continu, dimensionné selon les </w:t>
      </w:r>
      <w:r>
        <w:rPr>
          <w:rFonts w:eastAsia="Arial"/>
          <w:lang w:val="fr-CA"/>
        </w:rPr>
        <w:t>conditions de la barrière</w:t>
      </w:r>
      <w:r>
        <w:rPr>
          <w:rFonts w:eastAsia="Arial"/>
          <w:color w:val="000000"/>
          <w:lang w:val="fr-CA"/>
        </w:rPr>
        <w:t>.</w:t>
      </w:r>
    </w:p>
    <w:p w14:paraId="066BD8A7" w14:textId="77777777" w:rsidR="00EE44C1" w:rsidRDefault="00F73CAC">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066BD8A8" w14:textId="77777777" w:rsidR="00EE44C1" w:rsidRDefault="00F73CAC">
      <w:pPr>
        <w:pStyle w:val="Level5"/>
      </w:pPr>
      <w:r>
        <w:rPr>
          <w:rFonts w:eastAsia="Arial"/>
          <w:lang w:val="fr-CA"/>
        </w:rPr>
        <w:t xml:space="preserve"> </w:t>
      </w:r>
      <w:r>
        <w:rPr>
          <w:rFonts w:eastAsia="Arial"/>
          <w:lang w:val="fr-CA"/>
        </w:rPr>
        <w:tab/>
        <w:t>Connectivité Internet : Technologie MyQ avec 50 canaux SSF.</w:t>
      </w:r>
    </w:p>
    <w:p w14:paraId="066BD8A9" w14:textId="77777777" w:rsidR="00EE44C1" w:rsidRDefault="00F73CAC">
      <w:pPr>
        <w:pStyle w:val="Level5"/>
      </w:pPr>
      <w:r>
        <w:rPr>
          <w:rFonts w:eastAsia="Arial"/>
          <w:lang w:val="fr-CA"/>
        </w:rPr>
        <w:t xml:space="preserve"> </w:t>
      </w:r>
      <w:r>
        <w:rPr>
          <w:rFonts w:eastAsia="Arial"/>
          <w:lang w:val="fr-CA"/>
        </w:rPr>
        <w:tab/>
        <w:t xml:space="preserve">Récepteur radio : Technologie Security+ 2.0 </w:t>
      </w:r>
    </w:p>
    <w:p w14:paraId="066BD8AA" w14:textId="77777777" w:rsidR="00EE44C1" w:rsidRDefault="00F73CAC">
      <w:pPr>
        <w:pStyle w:val="Level5"/>
      </w:pPr>
      <w:r>
        <w:rPr>
          <w:rFonts w:eastAsia="Arial"/>
          <w:lang w:val="fr-CA"/>
        </w:rPr>
        <w:t xml:space="preserve"> </w:t>
      </w:r>
      <w:r>
        <w:rPr>
          <w:rFonts w:eastAsia="Arial"/>
          <w:lang w:val="fr-CA"/>
        </w:rPr>
        <w:tab/>
        <w:t xml:space="preserve">Cellule photoélectrique rétroréfléchissante surveillée. </w:t>
      </w:r>
    </w:p>
    <w:p w14:paraId="066BD8AB" w14:textId="77777777" w:rsidR="00EE44C1" w:rsidRDefault="00EE44C1">
      <w:pPr>
        <w:rPr>
          <w:rFonts w:cs="Arial"/>
          <w:vanish/>
          <w:color w:val="0070C0"/>
        </w:rPr>
      </w:pPr>
    </w:p>
    <w:p w14:paraId="066BD8AC" w14:textId="77777777" w:rsidR="00EE44C1" w:rsidRDefault="00F73CAC">
      <w:pPr>
        <w:pStyle w:val="SpecPara4"/>
        <w:numPr>
          <w:ilvl w:val="0"/>
          <w:numId w:val="0"/>
        </w:numPr>
        <w:rPr>
          <w:rFonts w:cs="Arial"/>
          <w:color w:val="0070C0"/>
        </w:rPr>
      </w:pPr>
      <w:r>
        <w:rPr>
          <w:rFonts w:eastAsia="Arial" w:cs="Arial"/>
          <w:color w:val="0070C0"/>
          <w:lang w:val="fr-CA"/>
        </w:rPr>
        <w:t xml:space="preserve">Les accessoires suivants sont </w:t>
      </w:r>
      <w:r>
        <w:rPr>
          <w:rFonts w:eastAsia="Arial" w:cs="Arial"/>
          <w:color w:val="0070C0"/>
          <w:lang w:val="fr-CA"/>
        </w:rPr>
        <w:t>disponibles en option. Consultez la documentation technique de LiftMaster pour obtenir de l’aide sur la sélection des accessoires.</w:t>
      </w:r>
    </w:p>
    <w:p w14:paraId="066BD8AD" w14:textId="77777777" w:rsidR="00EE44C1" w:rsidRDefault="00F73CAC">
      <w:pPr>
        <w:pStyle w:val="SpecPara4"/>
        <w:numPr>
          <w:ilvl w:val="0"/>
          <w:numId w:val="0"/>
        </w:numPr>
        <w:rPr>
          <w:rFonts w:cs="Arial"/>
          <w:vanish/>
          <w:color w:val="0070C0"/>
        </w:rPr>
      </w:pPr>
      <w:r>
        <w:rPr>
          <w:rFonts w:cs="Arial"/>
          <w:vanish/>
          <w:color w:val="0070C0"/>
        </w:rPr>
        <w:t xml:space="preserve"> </w:t>
      </w:r>
    </w:p>
    <w:p w14:paraId="066BD8AE" w14:textId="77777777" w:rsidR="00EE44C1" w:rsidRDefault="00F73CAC">
      <w:pPr>
        <w:pStyle w:val="Level4"/>
      </w:pPr>
      <w:r>
        <w:rPr>
          <w:rFonts w:eastAsia="Arial"/>
          <w:lang w:val="fr-CA"/>
        </w:rPr>
        <w:t xml:space="preserve"> </w:t>
      </w:r>
      <w:r>
        <w:rPr>
          <w:rFonts w:eastAsia="Arial"/>
          <w:lang w:val="fr-CA"/>
        </w:rPr>
        <w:tab/>
        <w:t>Accessoires :</w:t>
      </w:r>
    </w:p>
    <w:p w14:paraId="066BD8AF" w14:textId="77777777" w:rsidR="00EE44C1" w:rsidRDefault="00F73CAC">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color w:val="FF0000"/>
          <w:lang w:val="fr-CA"/>
        </w:rPr>
        <w:t>[Cellules photoélectriques à faisceau continu.]</w:t>
      </w:r>
      <w:r>
        <w:rPr>
          <w:rFonts w:eastAsia="Arial"/>
          <w:color w:val="FF0000"/>
          <w:lang w:val="fr-CA"/>
        </w:rPr>
        <w:t xml:space="preserve"> [Bordure sans fil avec émetteur et récepteur.] [Émetteur-récepteur de bordure sans fil.] [Bordures surveillées câblées.]</w:t>
      </w:r>
    </w:p>
    <w:p w14:paraId="066BD8B0" w14:textId="77777777" w:rsidR="00EE44C1" w:rsidRDefault="00F73CAC">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066BD8B1" w14:textId="77777777" w:rsidR="00EE44C1" w:rsidRDefault="00F73CAC">
      <w:pPr>
        <w:pStyle w:val="Level5"/>
      </w:pPr>
      <w:r>
        <w:rPr>
          <w:rFonts w:eastAsia="Arial"/>
          <w:lang w:val="fr-CA"/>
        </w:rPr>
        <w:tab/>
      </w:r>
      <w:r>
        <w:rPr>
          <w:rFonts w:eastAsia="Arial"/>
          <w:color w:val="FF0000"/>
          <w:lang w:val="fr-CA"/>
        </w:rPr>
        <w:t>[Télécommande à DIP encodés à un bo</w:t>
      </w:r>
      <w:r>
        <w:rPr>
          <w:rFonts w:eastAsia="Arial"/>
          <w:color w:val="FF0000"/>
          <w:lang w:val="fr-CA"/>
        </w:rPr>
        <w:t>uton.] [Télécommande programmable à deux boutons sans code fixe Security+ 2.0.] [Télécommande programmable à quatre boutons sans code fixe Security+ 2.0.]</w:t>
      </w:r>
    </w:p>
    <w:p w14:paraId="066BD8B2" w14:textId="77777777" w:rsidR="00EE44C1" w:rsidRDefault="00F73CAC">
      <w:pPr>
        <w:pStyle w:val="Level5"/>
      </w:pPr>
      <w:r>
        <w:rPr>
          <w:rFonts w:eastAsia="Arial"/>
          <w:lang w:val="fr-CA"/>
        </w:rPr>
        <w:t xml:space="preserve"> </w:t>
      </w:r>
      <w:r>
        <w:rPr>
          <w:rFonts w:eastAsia="Arial"/>
          <w:lang w:val="fr-CA"/>
        </w:rPr>
        <w:tab/>
        <w:t>Clavier sans fil commercial :</w:t>
      </w:r>
    </w:p>
    <w:p w14:paraId="066BD8B3" w14:textId="77777777" w:rsidR="00EE44C1" w:rsidRDefault="00F73CAC">
      <w:pPr>
        <w:pStyle w:val="Level5"/>
      </w:pPr>
      <w:r>
        <w:rPr>
          <w:rFonts w:eastAsia="Arial"/>
          <w:lang w:val="fr-CA"/>
        </w:rPr>
        <w:t xml:space="preserve"> </w:t>
      </w:r>
      <w:r>
        <w:rPr>
          <w:rFonts w:eastAsia="Arial"/>
          <w:lang w:val="fr-CA"/>
        </w:rPr>
        <w:tab/>
        <w:t xml:space="preserve">Passerelle Internet. </w:t>
      </w:r>
    </w:p>
    <w:p w14:paraId="066BD8B4" w14:textId="77777777" w:rsidR="00EE44C1" w:rsidRDefault="00F73CAC">
      <w:pPr>
        <w:pStyle w:val="Level5"/>
      </w:pPr>
      <w:r>
        <w:rPr>
          <w:rFonts w:eastAsia="Arial"/>
          <w:lang w:val="fr-CA"/>
        </w:rPr>
        <w:t xml:space="preserve"> </w:t>
      </w:r>
      <w:r>
        <w:rPr>
          <w:rFonts w:eastAsia="Arial"/>
          <w:lang w:val="fr-CA"/>
        </w:rPr>
        <w:tab/>
        <w:t xml:space="preserve">Dispositif de verrouillage à </w:t>
      </w:r>
      <w:r>
        <w:rPr>
          <w:rFonts w:eastAsia="Arial"/>
          <w:lang w:val="fr-CA"/>
        </w:rPr>
        <w:t>solénoïde.</w:t>
      </w:r>
    </w:p>
    <w:p w14:paraId="066BD8B5" w14:textId="77777777" w:rsidR="00EE44C1" w:rsidRDefault="00F73CAC">
      <w:pPr>
        <w:pStyle w:val="Level5"/>
      </w:pPr>
      <w:r>
        <w:rPr>
          <w:rFonts w:eastAsia="Arial"/>
          <w:lang w:val="fr-CA"/>
        </w:rPr>
        <w:t xml:space="preserve"> </w:t>
      </w:r>
      <w:r>
        <w:rPr>
          <w:rFonts w:eastAsia="Arial"/>
          <w:lang w:val="fr-CA"/>
        </w:rPr>
        <w:tab/>
        <w:t>Nécessaire de panneau solaire.</w:t>
      </w:r>
    </w:p>
    <w:p w14:paraId="066BD8B6" w14:textId="77777777" w:rsidR="00EE44C1" w:rsidRDefault="00F73CAC">
      <w:pPr>
        <w:pStyle w:val="Level5"/>
      </w:pPr>
      <w:r>
        <w:rPr>
          <w:rFonts w:eastAsia="Arial"/>
          <w:lang w:val="fr-CA"/>
        </w:rPr>
        <w:t xml:space="preserve"> </w:t>
      </w:r>
      <w:r>
        <w:rPr>
          <w:rFonts w:eastAsia="Arial"/>
          <w:lang w:val="fr-CA"/>
        </w:rPr>
        <w:tab/>
        <w:t>Détecteur à boucle enfichable et tableau d’extension.</w:t>
      </w:r>
    </w:p>
    <w:p w14:paraId="066BD8B7" w14:textId="77777777" w:rsidR="00EE44C1" w:rsidRDefault="00EE44C1">
      <w:pPr>
        <w:pStyle w:val="Level5"/>
        <w:numPr>
          <w:ilvl w:val="0"/>
          <w:numId w:val="0"/>
        </w:numPr>
      </w:pPr>
    </w:p>
    <w:p w14:paraId="066BDA1A" w14:textId="77777777" w:rsidR="00EE44C1" w:rsidRDefault="00F73CAC">
      <w:pPr>
        <w:pStyle w:val="Level1"/>
      </w:pPr>
      <w:r>
        <w:rPr>
          <w:rFonts w:eastAsia="Arial"/>
          <w:bCs/>
          <w:lang w:val="fr-CA"/>
        </w:rPr>
        <w:tab/>
        <w:t>EXÉCUTION</w:t>
      </w:r>
    </w:p>
    <w:p w14:paraId="066BDA1B" w14:textId="77777777" w:rsidR="00EE44C1" w:rsidRDefault="00EE44C1"/>
    <w:p w14:paraId="066BDA1C" w14:textId="77777777" w:rsidR="00EE44C1" w:rsidRDefault="00F73CAC">
      <w:pPr>
        <w:pStyle w:val="Level2"/>
      </w:pPr>
      <w:r>
        <w:rPr>
          <w:rFonts w:eastAsia="Arial"/>
          <w:lang w:val="fr-CA"/>
        </w:rPr>
        <w:tab/>
        <w:t>INSTALLATION</w:t>
      </w:r>
    </w:p>
    <w:p w14:paraId="066BDA1D" w14:textId="77777777" w:rsidR="00EE44C1" w:rsidRDefault="00EE44C1">
      <w:pPr>
        <w:pStyle w:val="Level2"/>
        <w:numPr>
          <w:ilvl w:val="0"/>
          <w:numId w:val="0"/>
        </w:numPr>
      </w:pPr>
    </w:p>
    <w:p w14:paraId="066BDA1E" w14:textId="77777777" w:rsidR="00EE44C1" w:rsidRDefault="00F73CAC">
      <w:pPr>
        <w:pStyle w:val="Level3"/>
      </w:pPr>
      <w:r>
        <w:rPr>
          <w:rFonts w:eastAsia="Arial"/>
          <w:lang w:val="fr-CA"/>
        </w:rPr>
        <w:tab/>
        <w:t xml:space="preserve">Installer conformément aux instructions du fabricant. </w:t>
      </w:r>
    </w:p>
    <w:p w14:paraId="066BDA1F" w14:textId="77777777" w:rsidR="00EE44C1" w:rsidRDefault="00EE44C1"/>
    <w:p w14:paraId="066BDA20" w14:textId="77777777" w:rsidR="00EE44C1" w:rsidRDefault="00F73CAC">
      <w:pPr>
        <w:pStyle w:val="Level2"/>
      </w:pPr>
      <w:r>
        <w:rPr>
          <w:rFonts w:eastAsia="Arial"/>
          <w:lang w:val="fr-CA"/>
        </w:rPr>
        <w:tab/>
        <w:t>ACTIVITÉS DE CLÔTURE</w:t>
      </w:r>
    </w:p>
    <w:p w14:paraId="066BDA21" w14:textId="77777777" w:rsidR="00EE44C1" w:rsidRDefault="00EE44C1">
      <w:pPr>
        <w:pStyle w:val="Level2"/>
        <w:numPr>
          <w:ilvl w:val="0"/>
          <w:numId w:val="0"/>
        </w:numPr>
      </w:pPr>
    </w:p>
    <w:p w14:paraId="066BDA22" w14:textId="77777777" w:rsidR="00EE44C1" w:rsidRDefault="00F73CAC">
      <w:pPr>
        <w:pStyle w:val="Level3"/>
      </w:pPr>
      <w:r>
        <w:rPr>
          <w:rFonts w:eastAsia="Arial"/>
          <w:lang w:val="fr-CA"/>
        </w:rPr>
        <w:lastRenderedPageBreak/>
        <w:t xml:space="preserve"> </w:t>
      </w:r>
      <w:r>
        <w:rPr>
          <w:rFonts w:eastAsia="Arial"/>
          <w:lang w:val="fr-CA"/>
        </w:rPr>
        <w:tab/>
        <w:t xml:space="preserve">Tester et ajuster le bon </w:t>
      </w:r>
      <w:r>
        <w:rPr>
          <w:rFonts w:eastAsia="Arial"/>
          <w:lang w:val="fr-CA"/>
        </w:rPr>
        <w:t>fonctionnement des opérateurs.</w:t>
      </w:r>
    </w:p>
    <w:p w14:paraId="066BDA23" w14:textId="77777777" w:rsidR="00EE44C1" w:rsidRDefault="00EE44C1"/>
    <w:p w14:paraId="066BDA24" w14:textId="77777777" w:rsidR="00EE44C1" w:rsidRDefault="00F73CAC">
      <w:pPr>
        <w:pStyle w:val="Level3"/>
      </w:pPr>
      <w:r>
        <w:rPr>
          <w:rFonts w:eastAsia="Arial"/>
          <w:lang w:val="fr-CA"/>
        </w:rPr>
        <w:tab/>
        <w:t>Démonstration : Démontrer le fonctionnement et la programmation des opérateurs au propriétaire.</w:t>
      </w:r>
    </w:p>
    <w:p w14:paraId="066BDA25" w14:textId="77777777" w:rsidR="00EE44C1" w:rsidRDefault="00EE44C1">
      <w:pPr>
        <w:rPr>
          <w:rFonts w:cs="Arial"/>
        </w:rPr>
      </w:pPr>
    </w:p>
    <w:p w14:paraId="066BDA26" w14:textId="77777777" w:rsidR="00EE44C1" w:rsidRDefault="00EE44C1">
      <w:pPr>
        <w:rPr>
          <w:rFonts w:cs="Arial"/>
        </w:rPr>
      </w:pPr>
    </w:p>
    <w:p w14:paraId="066BDA27" w14:textId="77777777" w:rsidR="00EE44C1" w:rsidRDefault="00F73CAC">
      <w:pPr>
        <w:jc w:val="center"/>
        <w:rPr>
          <w:rFonts w:cs="Arial"/>
        </w:rPr>
      </w:pPr>
      <w:r>
        <w:rPr>
          <w:rFonts w:eastAsia="Arial" w:cs="Arial"/>
          <w:lang w:val="fr-CA"/>
        </w:rPr>
        <w:t>FIN DE LA SECTION</w:t>
      </w:r>
    </w:p>
    <w:sectPr w:rsidR="00EE44C1">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261D" w14:textId="77777777" w:rsidR="00F73CAC" w:rsidRDefault="00F73CAC">
      <w:r>
        <w:separator/>
      </w:r>
    </w:p>
  </w:endnote>
  <w:endnote w:type="continuationSeparator" w:id="0">
    <w:p w14:paraId="19254835" w14:textId="77777777" w:rsidR="00F73CAC" w:rsidRDefault="00F7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A30" w14:textId="77777777" w:rsidR="00EE44C1" w:rsidRDefault="00EE44C1">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6BDA31" w14:textId="77777777" w:rsidR="00EE44C1" w:rsidRDefault="00EE44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A32" w14:textId="77777777" w:rsidR="00EE44C1" w:rsidRDefault="00EE44C1">
    <w:pPr>
      <w:tabs>
        <w:tab w:val="center" w:pos="5040"/>
        <w:tab w:val="right" w:pos="10079"/>
      </w:tabs>
      <w:rPr>
        <w:rFonts w:cs="Arial"/>
      </w:rPr>
    </w:pPr>
  </w:p>
  <w:p w14:paraId="066BDA33" w14:textId="77777777" w:rsidR="00EE44C1" w:rsidRDefault="00F73CAC">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066BDA34" w14:textId="77777777" w:rsidR="00EE44C1" w:rsidRDefault="00F73CAC">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EB3E" w14:textId="77777777" w:rsidR="00F73CAC" w:rsidRDefault="00F73CAC">
      <w:r>
        <w:separator/>
      </w:r>
    </w:p>
  </w:footnote>
  <w:footnote w:type="continuationSeparator" w:id="0">
    <w:p w14:paraId="0DDD374C" w14:textId="77777777" w:rsidR="00F73CAC" w:rsidRDefault="00F7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A2C" w14:textId="77777777" w:rsidR="00EE44C1" w:rsidRDefault="00EE44C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66BDA2D" w14:textId="77777777" w:rsidR="00EE44C1" w:rsidRDefault="00EE44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A2E" w14:textId="77777777" w:rsidR="00EE44C1" w:rsidRDefault="00EE44C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66BDA2F" w14:textId="77777777" w:rsidR="00EE44C1" w:rsidRDefault="00EE44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C1"/>
    <w:rsid w:val="000608F1"/>
    <w:rsid w:val="00676907"/>
    <w:rsid w:val="00EE44C1"/>
    <w:rsid w:val="00F73C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BD847"/>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5175</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2022-02-01T15:41:00Z</dcterms:created>
  <dcterms:modified xsi:type="dcterms:W3CDTF">2022-02-01T15:42:00Z</dcterms:modified>
</cp:coreProperties>
</file>