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2A75AA80" w14:textId="77777777" w:rsidR="004C5C3E" w:rsidRDefault="003A16CC">
      <w:pPr>
        <w:pStyle w:val="Level3"/>
      </w:pPr>
      <w:r>
        <w:rPr>
          <w:rFonts w:eastAsia="Arial"/>
          <w:lang w:val="fr-CA"/>
        </w:rPr>
        <w:tab/>
        <w:t>Actionneurs de porte :</w:t>
      </w:r>
    </w:p>
    <w:p w14:paraId="7F1AAFA9" w14:textId="77777777" w:rsidR="004C5C3E" w:rsidRDefault="003A16CC">
      <w:pPr>
        <w:pStyle w:val="Level4"/>
      </w:pPr>
      <w:r>
        <w:rPr>
          <w:rFonts w:eastAsia="Arial"/>
          <w:lang w:val="fr-CA"/>
        </w:rPr>
        <w:tab/>
        <w:t>Modèle : SD.</w:t>
      </w:r>
    </w:p>
    <w:p w14:paraId="3DD1EB51" w14:textId="77777777" w:rsidR="004C5C3E" w:rsidRDefault="003A16CC">
      <w:pPr>
        <w:pStyle w:val="Level4"/>
      </w:pPr>
      <w:r>
        <w:rPr>
          <w:rFonts w:eastAsia="Arial"/>
          <w:lang w:val="fr-CA"/>
        </w:rPr>
        <w:t xml:space="preserve"> </w:t>
      </w:r>
      <w:r>
        <w:rPr>
          <w:rFonts w:eastAsia="Arial"/>
          <w:lang w:val="fr-CA"/>
        </w:rPr>
        <w:tab/>
        <w:t>Fonctionnement : Glissière.</w:t>
      </w:r>
    </w:p>
    <w:p w14:paraId="393D6542" w14:textId="77777777" w:rsidR="004C5C3E" w:rsidRDefault="003A16CC">
      <w:pPr>
        <w:pStyle w:val="Level4"/>
        <w:rPr>
          <w:lang w:val="fr-CA"/>
        </w:rPr>
      </w:pPr>
      <w:r>
        <w:rPr>
          <w:rFonts w:eastAsia="Arial"/>
          <w:lang w:val="fr-CA"/>
        </w:rPr>
        <w:tab/>
        <w:t>Type d’entraînement : Réduction primaire par courroie en V.</w:t>
      </w:r>
    </w:p>
    <w:p w14:paraId="03625EDC" w14:textId="77777777" w:rsidR="004C5C3E" w:rsidRDefault="003A16CC">
      <w:pPr>
        <w:pStyle w:val="Level4"/>
        <w:rPr>
          <w:color w:val="000000" w:themeColor="text1"/>
        </w:rPr>
      </w:pPr>
      <w:r>
        <w:rPr>
          <w:rFonts w:eastAsia="Arial"/>
          <w:lang w:val="fr-CA"/>
        </w:rPr>
        <w:tab/>
        <w:t>Montage : Mur.</w:t>
      </w:r>
      <w:r>
        <w:rPr>
          <w:rFonts w:eastAsia="Arial"/>
          <w:color w:val="FF0000"/>
          <w:lang w:val="fr-CA"/>
        </w:rPr>
        <w:t xml:space="preserve"> </w:t>
      </w:r>
    </w:p>
    <w:p w14:paraId="6FDDD524" w14:textId="77777777" w:rsidR="004C5C3E" w:rsidRDefault="003A16CC">
      <w:pPr>
        <w:pStyle w:val="Level4"/>
        <w:rPr>
          <w:color w:val="000000" w:themeColor="text1"/>
          <w:lang w:val="fr-CA"/>
        </w:rPr>
      </w:pPr>
      <w:r>
        <w:rPr>
          <w:rFonts w:eastAsia="Arial"/>
          <w:color w:val="000000"/>
          <w:lang w:val="fr-CA"/>
        </w:rPr>
        <w:t xml:space="preserve"> </w:t>
      </w:r>
      <w:r>
        <w:rPr>
          <w:rFonts w:eastAsia="Arial"/>
          <w:color w:val="000000"/>
          <w:lang w:val="fr-CA"/>
        </w:rPr>
        <w:tab/>
        <w:t>Déconnexion pour un fonctionnement manuel : Chaîne de contrepoids à déclenchement d’urgence au niveau du sol.</w:t>
      </w:r>
    </w:p>
    <w:p w14:paraId="2C46C143" w14:textId="77777777" w:rsidR="004C5C3E" w:rsidRDefault="003A16CC">
      <w:pPr>
        <w:pStyle w:val="Level4"/>
        <w:rPr>
          <w:color w:val="000000" w:themeColor="text1"/>
          <w:lang w:val="fr-CA"/>
        </w:rPr>
      </w:pPr>
      <w:r>
        <w:rPr>
          <w:rFonts w:eastAsia="Arial"/>
          <w:lang w:val="fr-CA"/>
        </w:rPr>
        <w:t xml:space="preserve"> </w:t>
      </w:r>
      <w:r>
        <w:rPr>
          <w:rFonts w:eastAsia="Arial"/>
          <w:lang w:val="fr-CA"/>
        </w:rPr>
        <w:tab/>
      </w:r>
      <w:r>
        <w:rPr>
          <w:rFonts w:eastAsia="Arial"/>
          <w:color w:val="000000"/>
          <w:lang w:val="fr-CA"/>
        </w:rPr>
        <w:t xml:space="preserve">Cycle de service homologué : </w:t>
      </w:r>
      <w:r>
        <w:rPr>
          <w:rFonts w:eastAsia="Arial" w:cs="Arial"/>
          <w:color w:val="000000"/>
          <w:shd w:val="clear" w:color="auto" w:fill="FFFFFF"/>
          <w:lang w:val="fr-CA"/>
        </w:rPr>
        <w:t>Maximum de 25 cycles par heure et 90 cycles par jour</w:t>
      </w:r>
      <w:r>
        <w:rPr>
          <w:rFonts w:eastAsia="Arial" w:cs="Arial"/>
          <w:color w:val="000000"/>
          <w:lang w:val="fr-CA"/>
        </w:rPr>
        <w:t>.</w:t>
      </w:r>
    </w:p>
    <w:p w14:paraId="3170F27E"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5513ACBB" w14:textId="77777777" w:rsidR="004C5C3E" w:rsidRDefault="003A16CC">
      <w:pPr>
        <w:pStyle w:val="Level4"/>
        <w:rPr>
          <w:rFonts w:cs="Arial"/>
          <w:lang w:val="fr-CA"/>
        </w:rPr>
      </w:pPr>
      <w:r>
        <w:rPr>
          <w:rFonts w:eastAsia="Arial" w:cs="Arial"/>
          <w:lang w:val="fr-CA"/>
        </w:rPr>
        <w:tab/>
        <w:t>Moteur : Homologué par Underwriters Laboratories, dimensionné selon les conditions de la porte.</w:t>
      </w:r>
    </w:p>
    <w:p w14:paraId="6ED65D6B" w14:textId="77777777" w:rsidR="004C5C3E" w:rsidRDefault="003A16CC">
      <w:pPr>
        <w:pStyle w:val="Level4"/>
        <w:rPr>
          <w:rFonts w:cs="Arial"/>
        </w:rPr>
      </w:pPr>
      <w:r>
        <w:rPr>
          <w:rFonts w:eastAsia="Arial" w:cs="Arial"/>
          <w:lang w:val="fr-CA"/>
        </w:rPr>
        <w:tab/>
        <w:t>Enceinte : NEMA 1.</w:t>
      </w:r>
    </w:p>
    <w:p w14:paraId="30CAC9C2"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 xml:space="preserve">Taux de déplacement : de 28 à 31 cm/s (11 à 12 po/s). </w:t>
      </w:r>
    </w:p>
    <w:p w14:paraId="6EAAE2ED" w14:textId="77777777" w:rsidR="004C5C3E" w:rsidRDefault="003A16CC">
      <w:pPr>
        <w:pStyle w:val="Level4"/>
        <w:rPr>
          <w:lang w:val="fr-CA"/>
        </w:rPr>
      </w:pPr>
      <w:r>
        <w:rPr>
          <w:rFonts w:eastAsia="Arial"/>
          <w:lang w:val="fr-CA"/>
        </w:rPr>
        <w:t xml:space="preserve"> </w:t>
      </w:r>
      <w:r>
        <w:rPr>
          <w:rFonts w:eastAsia="Arial"/>
          <w:lang w:val="fr-CA"/>
        </w:rPr>
        <w:tab/>
        <w:t xml:space="preserve">Récepteur radio : </w:t>
      </w: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rFonts w:eastAsia="Arial"/>
          <w:lang w:val="fr-CA"/>
        </w:rPr>
        <w:t xml:space="preserve">Logic 5.0 intégré; accepte les télécommandes Security+ 2.0 avec technologie de code variable et les télécommandes de commutateur DIP binaires. </w:t>
      </w:r>
    </w:p>
    <w:p w14:paraId="2CD09AEE" w14:textId="77777777" w:rsidR="004C5C3E" w:rsidRDefault="003A16CC">
      <w:pPr>
        <w:pStyle w:val="Level4"/>
        <w:rPr>
          <w:lang w:val="fr-CA"/>
        </w:rPr>
      </w:pPr>
      <w:r>
        <w:rPr>
          <w:rFonts w:eastAsia="Arial"/>
          <w:lang w:val="fr-CA"/>
        </w:rPr>
        <w:t xml:space="preserve"> </w:t>
      </w:r>
      <w:r>
        <w:rPr>
          <w:rFonts w:eastAsia="Arial"/>
          <w:lang w:val="fr-CA"/>
        </w:rPr>
        <w:tab/>
        <w:t xml:space="preserve">Connectivité Internet : Technologie FHSS myQ à 50 canaux. </w:t>
      </w:r>
    </w:p>
    <w:p w14:paraId="59D4679D"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[Type de bouton-poussoir à trois positions]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4497D2FE" w14:textId="77777777" w:rsidR="004C5C3E" w:rsidRDefault="003A16CC">
      <w:pPr>
        <w:pStyle w:val="SpecPara4"/>
        <w:autoSpaceDE w:val="0"/>
        <w:autoSpaceDN w:val="0"/>
        <w:adjustRightInd w:val="0"/>
        <w:rPr>
          <w:rFonts w:cs="Arial"/>
          <w:lang w:val="fr-CA"/>
        </w:rPr>
      </w:pPr>
      <w:r>
        <w:rPr>
          <w:rFonts w:eastAsia="Arial"/>
          <w:lang w:val="fr-CA"/>
        </w:rPr>
        <w:tab/>
        <w:t xml:space="preserve">Télécommandes : </w:t>
      </w:r>
      <w:r>
        <w:rPr>
          <w:rFonts w:eastAsia="Arial"/>
          <w:color w:val="FF0000"/>
          <w:lang w:val="fr-CA"/>
        </w:rPr>
        <w:t>[DIP à un bouton.] [DIP à trois boutons.] [Code variable à deux boutons Security+ 2.0.] [Code variable à trois boutons Security+ 2.0.] [Code variable à quatre boutons Security+ 2.0.]</w:t>
      </w:r>
    </w:p>
    <w:p w14:paraId="0F8635C4"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[Œils électroniques, boîtier rigide.] [Œils électroniques, boîtier flexible.] [Rideau lumineux.] [Système de capteur réfléchissant.] [Système de bordure de détection.] [Système de bordure de détection optique.]</w:t>
      </w:r>
    </w:p>
    <w:p w14:paraId="2AC94B5D" w14:textId="45B224EA" w:rsidR="004C5C3E" w:rsidRDefault="003A16CC">
      <w:pPr>
        <w:pStyle w:val="SpecPara4"/>
        <w:autoSpaceDE w:val="0"/>
        <w:autoSpaceDN w:val="0"/>
        <w:adjustRightInd w:val="0"/>
        <w:rPr>
          <w:rFonts w:cs="Arial"/>
        </w:rPr>
      </w:pPr>
      <w:r>
        <w:rPr>
          <w:rFonts w:eastAsia="Arial"/>
          <w:lang w:val="fr-CA"/>
        </w:rPr>
        <w:lastRenderedPageBreak/>
        <w:tab/>
        <w:t>Protection secondaire non surveillée contre le piégeage :</w:t>
      </w:r>
      <w:r>
        <w:rPr>
          <w:rFonts w:eastAsia="Arial" w:cs="Arial"/>
          <w:lang w:val="fr-CA"/>
        </w:rPr>
        <w:t xml:space="preserve"> </w:t>
      </w:r>
      <w:r>
        <w:rPr>
          <w:rFonts w:eastAsia="Arial" w:cs="Arial"/>
          <w:color w:val="FF0000"/>
          <w:lang w:val="fr-CA"/>
        </w:rPr>
        <w:t>[Œils électroniques, boîtier rigide.] [Œils électroniques, boîtier flexible.] [Système de capteur réfléchissant.] [Système de bordure de détection.] [Système optique de bordure de détection.] [Bordure de détection pneumatique.]</w:t>
      </w:r>
    </w:p>
    <w:p w14:paraId="075CFA3E" w14:textId="77777777" w:rsidR="004C5C3E" w:rsidRDefault="003A16CC">
      <w:pPr>
        <w:pStyle w:val="SpecPara4"/>
        <w:autoSpaceDE w:val="0"/>
        <w:autoSpaceDN w:val="0"/>
        <w:adjustRightInd w:val="0"/>
        <w:rPr>
          <w:rFonts w:cs="Arial"/>
          <w:lang w:val="fr-CA"/>
        </w:rPr>
      </w:pPr>
      <w:r>
        <w:rPr>
          <w:rFonts w:eastAsia="Arial" w:cs="Arial"/>
          <w:lang w:val="fr-CA"/>
        </w:rPr>
        <w:t xml:space="preserve"> </w:t>
      </w:r>
      <w:r>
        <w:rPr>
          <w:rFonts w:eastAsia="Arial" w:cs="Arial"/>
          <w:lang w:val="fr-CA"/>
        </w:rPr>
        <w:tab/>
        <w:t>Rail : Rail en L de chariot double.</w:t>
      </w:r>
    </w:p>
    <w:p w14:paraId="14F8CCA1" w14:textId="77777777" w:rsidR="004C5C3E" w:rsidRDefault="004C5C3E">
      <w:pPr>
        <w:pStyle w:val="SpecPara4"/>
        <w:numPr>
          <w:ilvl w:val="0"/>
          <w:numId w:val="0"/>
        </w:numPr>
        <w:rPr>
          <w:rFonts w:cs="Arial"/>
          <w:color w:val="0070C0"/>
          <w:lang w:val="fr-CA"/>
        </w:rPr>
      </w:pP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2071" w14:textId="77777777" w:rsidR="00617BCE" w:rsidRDefault="00617BCE">
      <w:r>
        <w:separator/>
      </w:r>
    </w:p>
  </w:endnote>
  <w:endnote w:type="continuationSeparator" w:id="0">
    <w:p w14:paraId="100BDA2C" w14:textId="77777777" w:rsidR="00617BCE" w:rsidRDefault="0061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D4F5" w14:textId="77777777" w:rsidR="00617BCE" w:rsidRDefault="00617BCE">
      <w:r>
        <w:separator/>
      </w:r>
    </w:p>
  </w:footnote>
  <w:footnote w:type="continuationSeparator" w:id="0">
    <w:p w14:paraId="4E9BBF73" w14:textId="77777777" w:rsidR="00617BCE" w:rsidRDefault="0061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090E2F"/>
    <w:rsid w:val="002B3966"/>
    <w:rsid w:val="003A16CC"/>
    <w:rsid w:val="004C5C3E"/>
    <w:rsid w:val="004E233F"/>
    <w:rsid w:val="00617BCE"/>
    <w:rsid w:val="00862B6D"/>
    <w:rsid w:val="00A53672"/>
    <w:rsid w:val="00E76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431</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2022-05-24T18:55:00Z</dcterms:created>
  <dcterms:modified xsi:type="dcterms:W3CDTF">2022-10-13T15:06:00Z</dcterms:modified>
</cp:coreProperties>
</file>