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11DA8CD1" w14:textId="77777777" w:rsidR="000F5EDC" w:rsidRPr="00695E45" w:rsidRDefault="008278E2" w:rsidP="000F5EDC">
      <w:pPr>
        <w:autoSpaceDE w:val="0"/>
        <w:autoSpaceDN w:val="0"/>
        <w:adjustRightInd w:val="0"/>
        <w:rPr>
          <w:rFonts w:cs="Arial"/>
          <w:color w:val="0070C0"/>
        </w:rPr>
      </w:pPr>
      <w:r w:rsidRPr="00695E45">
        <w:rPr>
          <w:rFonts w:cs="Arial"/>
          <w:vanish/>
          <w:color w:val="0070C0"/>
          <w:lang w:val="en-CA"/>
        </w:rPr>
        <w:fldChar w:fldCharType="begin"/>
      </w:r>
      <w:r w:rsidRPr="00695E45">
        <w:rPr>
          <w:rFonts w:cs="Arial"/>
          <w:vanish/>
          <w:color w:val="0070C0"/>
          <w:lang w:val="en-CA"/>
        </w:rPr>
        <w:instrText xml:space="preserve"> SEQ CHAPTER \h \r 1</w:instrText>
      </w:r>
      <w:r w:rsidRPr="00695E45">
        <w:rPr>
          <w:rFonts w:cs="Arial"/>
          <w:vanish/>
          <w:color w:val="0070C0"/>
          <w:lang w:val="en-CA"/>
        </w:rPr>
        <w:fldChar w:fldCharType="end"/>
      </w:r>
      <w:r w:rsidRPr="00695E45">
        <w:rPr>
          <w:rFonts w:cs="Arial"/>
          <w:vanish/>
          <w:color w:val="0070C0"/>
          <w:lang w:val="es-MX"/>
        </w:rPr>
        <w:t>Conservar lo siguiente para un operador de polispasto de servicio mediano para rejillas y puertas de láminas de acero enrollables, que requieran velocidades más lentas y un polispasto manual, con medidas de hasta 4.2 m (14 pies) de alto y 6.7 m (22 pies) de ancho, hasta un máximo de 29.7 metros cuadrados (320 pies cuadrados).</w:t>
      </w:r>
    </w:p>
    <w:p w14:paraId="0858E933" w14:textId="77777777" w:rsidR="000F5EDC" w:rsidRPr="00695E45" w:rsidRDefault="000F5EDC" w:rsidP="000F5EDC">
      <w:pPr>
        <w:autoSpaceDE w:val="0"/>
        <w:autoSpaceDN w:val="0"/>
        <w:adjustRightInd w:val="0"/>
        <w:rPr>
          <w:rFonts w:cs="Arial"/>
          <w:color w:val="0070C0"/>
        </w:rPr>
      </w:pPr>
    </w:p>
    <w:p w14:paraId="55F6F0A4" w14:textId="4A898B31" w:rsidR="000F5EDC" w:rsidRPr="00421B02" w:rsidRDefault="00621A3D" w:rsidP="000F5EDC">
      <w:pPr>
        <w:pStyle w:val="Level3"/>
      </w:pPr>
      <w:r>
        <w:rPr>
          <w:lang w:val="es-MX"/>
        </w:rPr>
        <w:tab/>
      </w:r>
      <w:r w:rsidR="008278E2" w:rsidRPr="00421B02">
        <w:rPr>
          <w:lang w:val="es-MX"/>
        </w:rPr>
        <w:t>Operadores de puerta:</w:t>
      </w:r>
    </w:p>
    <w:p w14:paraId="7D7A965F" w14:textId="19ADABFF" w:rsidR="000F5EDC" w:rsidRPr="00421B02" w:rsidRDefault="00621A3D" w:rsidP="000F5EDC">
      <w:pPr>
        <w:pStyle w:val="Level4"/>
      </w:pPr>
      <w:r>
        <w:rPr>
          <w:lang w:val="es-MX"/>
        </w:rPr>
        <w:tab/>
      </w:r>
      <w:r w:rsidR="008278E2" w:rsidRPr="00421B02">
        <w:rPr>
          <w:lang w:val="es-MX"/>
        </w:rPr>
        <w:t>Modelo: MHS.</w:t>
      </w:r>
    </w:p>
    <w:p w14:paraId="62E7AFB3" w14:textId="36AC1D45" w:rsidR="000F5EDC" w:rsidRPr="00421B02" w:rsidRDefault="008278E2" w:rsidP="000F5EDC">
      <w:pPr>
        <w:pStyle w:val="Level4"/>
      </w:pPr>
      <w:r w:rsidRPr="00421B02">
        <w:rPr>
          <w:lang w:val="es-MX"/>
        </w:rPr>
        <w:t xml:space="preserve"> </w:t>
      </w:r>
      <w:r w:rsidR="00621A3D">
        <w:rPr>
          <w:lang w:val="es-MX"/>
        </w:rPr>
        <w:tab/>
      </w:r>
      <w:r w:rsidRPr="00421B02">
        <w:rPr>
          <w:lang w:val="es-MX"/>
        </w:rPr>
        <w:t>Funcionamiento: Eje transversal.</w:t>
      </w:r>
    </w:p>
    <w:p w14:paraId="6D4C4329" w14:textId="03EBAC6C" w:rsidR="000F5EDC" w:rsidRPr="00421B02" w:rsidRDefault="00621A3D" w:rsidP="000F5EDC">
      <w:pPr>
        <w:pStyle w:val="Level4"/>
      </w:pPr>
      <w:r>
        <w:rPr>
          <w:lang w:val="es-MX"/>
        </w:rPr>
        <w:tab/>
      </w:r>
      <w:r w:rsidR="008278E2" w:rsidRPr="00421B02">
        <w:rPr>
          <w:lang w:val="es-MX"/>
        </w:rPr>
        <w:t>Montaje: Pared.</w:t>
      </w:r>
    </w:p>
    <w:p w14:paraId="21B973A2" w14:textId="0342623C" w:rsidR="000F5EDC" w:rsidRPr="00421B02" w:rsidRDefault="008278E2" w:rsidP="000F5EDC">
      <w:pPr>
        <w:pStyle w:val="Level4"/>
      </w:pPr>
      <w:r w:rsidRPr="00421B02">
        <w:rPr>
          <w:lang w:val="es-MX"/>
        </w:rPr>
        <w:t xml:space="preserve">  </w:t>
      </w:r>
      <w:r w:rsidR="00621A3D">
        <w:rPr>
          <w:lang w:val="es-MX"/>
        </w:rPr>
        <w:tab/>
      </w:r>
      <w:r w:rsidRPr="00421B02">
        <w:rPr>
          <w:lang w:val="es-MX"/>
        </w:rPr>
        <w:t xml:space="preserve">Funcionamiento manual: Polispasto de cadena a nivel del suelo con enclavamiento eléctrico. </w:t>
      </w:r>
    </w:p>
    <w:p w14:paraId="6295CB84" w14:textId="24BF57B6" w:rsidR="000F5EDC" w:rsidRPr="00421B02" w:rsidRDefault="00621A3D" w:rsidP="000F5EDC">
      <w:pPr>
        <w:pStyle w:val="Level4"/>
        <w:rPr>
          <w:color w:val="0070C0"/>
        </w:rPr>
      </w:pPr>
      <w:r>
        <w:rPr>
          <w:lang w:val="es-MX"/>
        </w:rPr>
        <w:tab/>
      </w:r>
      <w:r w:rsidR="008278E2" w:rsidRPr="00421B02">
        <w:rPr>
          <w:lang w:val="es-MX"/>
        </w:rPr>
        <w:t>Ciclo de trabajo nominal: 12 ciclos por hora como máximo y 50 ciclos por día.</w:t>
      </w:r>
    </w:p>
    <w:p w14:paraId="27AD739A" w14:textId="5B94B8A2" w:rsidR="000F5EDC" w:rsidRDefault="008278E2" w:rsidP="000F5EDC">
      <w:pPr>
        <w:pStyle w:val="Level4"/>
      </w:pPr>
      <w:r w:rsidRPr="00421B02">
        <w:rPr>
          <w:lang w:val="es-MX"/>
        </w:rPr>
        <w:t xml:space="preserve"> </w:t>
      </w:r>
      <w:r w:rsidR="00621A3D">
        <w:rPr>
          <w:lang w:val="es-MX"/>
        </w:rPr>
        <w:tab/>
      </w:r>
      <w:r w:rsidRPr="00421B02">
        <w:rPr>
          <w:lang w:val="es-MX"/>
        </w:rPr>
        <w:t>Cumple la norma UL 325.</w:t>
      </w:r>
    </w:p>
    <w:p w14:paraId="44389CF5" w14:textId="737C15AF" w:rsidR="000F5EDC" w:rsidRDefault="008278E2" w:rsidP="000F5EDC">
      <w:pPr>
        <w:pStyle w:val="Level4"/>
      </w:pPr>
      <w:r>
        <w:rPr>
          <w:lang w:val="es-MX"/>
        </w:rPr>
        <w:t xml:space="preserve"> </w:t>
      </w:r>
      <w:r w:rsidR="00621A3D">
        <w:rPr>
          <w:lang w:val="es-MX"/>
        </w:rPr>
        <w:tab/>
      </w:r>
      <w:r>
        <w:rPr>
          <w:lang w:val="es-MX"/>
        </w:rPr>
        <w:t>Motor: Condiciones de tamaño de la puerta.</w:t>
      </w:r>
    </w:p>
    <w:p w14:paraId="4AEA3DD1" w14:textId="7A58DDEC" w:rsidR="000F5EDC" w:rsidRPr="00C943B3" w:rsidRDefault="008278E2" w:rsidP="000F5EDC">
      <w:pPr>
        <w:pStyle w:val="Level4"/>
        <w:rPr>
          <w:rFonts w:cs="Arial"/>
        </w:rPr>
      </w:pPr>
      <w:r>
        <w:rPr>
          <w:rFonts w:cs="Arial"/>
          <w:lang w:val="es-MX"/>
        </w:rPr>
        <w:t xml:space="preserve"> </w:t>
      </w:r>
      <w:r w:rsidR="00621A3D">
        <w:rPr>
          <w:rFonts w:cs="Arial"/>
          <w:lang w:val="es-MX"/>
        </w:rPr>
        <w:tab/>
      </w:r>
      <w:r>
        <w:rPr>
          <w:rFonts w:cs="Arial"/>
          <w:lang w:val="es-MX"/>
        </w:rPr>
        <w:t>Gabinete: NEMA 1.</w:t>
      </w:r>
    </w:p>
    <w:p w14:paraId="17525A76" w14:textId="3E46909C" w:rsidR="000F5EDC" w:rsidRPr="00421B02" w:rsidRDefault="008278E2" w:rsidP="000F5EDC">
      <w:pPr>
        <w:pStyle w:val="Level4"/>
      </w:pPr>
      <w:r w:rsidRPr="00421B02">
        <w:rPr>
          <w:lang w:val="es-MX"/>
        </w:rPr>
        <w:t xml:space="preserve"> </w:t>
      </w:r>
      <w:r w:rsidR="00621A3D">
        <w:rPr>
          <w:lang w:val="es-MX"/>
        </w:rPr>
        <w:tab/>
      </w:r>
      <w:r w:rsidRPr="00421B02">
        <w:rPr>
          <w:lang w:val="es-MX"/>
        </w:rPr>
        <w:t xml:space="preserve">Velocidad de desplazamiento: 27.9 a 30.5 cm (4 a 5 </w:t>
      </w:r>
      <w:proofErr w:type="spellStart"/>
      <w:r w:rsidRPr="00421B02">
        <w:rPr>
          <w:lang w:val="es-MX"/>
        </w:rPr>
        <w:t>pulg</w:t>
      </w:r>
      <w:proofErr w:type="spellEnd"/>
      <w:r w:rsidRPr="00421B02">
        <w:rPr>
          <w:lang w:val="es-MX"/>
        </w:rPr>
        <w:t xml:space="preserve">.) por segundo. </w:t>
      </w:r>
    </w:p>
    <w:p w14:paraId="4D652B0C" w14:textId="34267D79" w:rsidR="000F5EDC" w:rsidRPr="0056556E" w:rsidRDefault="008278E2" w:rsidP="000F5EDC">
      <w:pPr>
        <w:pStyle w:val="Level4"/>
      </w:pPr>
      <w:r w:rsidRPr="0056556E">
        <w:rPr>
          <w:lang w:val="es-MX"/>
        </w:rPr>
        <w:t xml:space="preserve"> </w:t>
      </w:r>
      <w:r w:rsidR="00621A3D">
        <w:rPr>
          <w:lang w:val="es-MX"/>
        </w:rPr>
        <w:tab/>
      </w:r>
      <w:r w:rsidRPr="0056556E">
        <w:rPr>
          <w:lang w:val="es-MX"/>
        </w:rPr>
        <w:t xml:space="preserve">Receptor de radio: </w:t>
      </w:r>
      <w:r w:rsidRPr="0056556E">
        <w:rPr>
          <w:lang w:val="en-CA"/>
        </w:rPr>
        <w:fldChar w:fldCharType="begin"/>
      </w:r>
      <w:r w:rsidRPr="0056556E">
        <w:rPr>
          <w:lang w:val="en-CA"/>
        </w:rPr>
        <w:instrText xml:space="preserve"> SEQ CHAPTER \h \r 1</w:instrText>
      </w:r>
      <w:r w:rsidRPr="0056556E">
        <w:rPr>
          <w:lang w:val="en-CA"/>
        </w:rPr>
        <w:fldChar w:fldCharType="end"/>
      </w:r>
      <w:r w:rsidRPr="0056556E">
        <w:rPr>
          <w:lang w:val="es-MX"/>
        </w:rPr>
        <w:t xml:space="preserve">Receptor de 315 MHz; acepta controles remotos con tecnología de código variable Security+ y controles remotos con interruptores DIP </w:t>
      </w:r>
      <w:proofErr w:type="spellStart"/>
      <w:r w:rsidRPr="0056556E">
        <w:rPr>
          <w:lang w:val="es-MX"/>
        </w:rPr>
        <w:t>trinarios</w:t>
      </w:r>
      <w:proofErr w:type="spellEnd"/>
      <w:r w:rsidRPr="0056556E">
        <w:rPr>
          <w:lang w:val="es-MX"/>
        </w:rPr>
        <w:t xml:space="preserve">. </w:t>
      </w:r>
    </w:p>
    <w:p w14:paraId="3D313E75" w14:textId="6CF3AED9" w:rsidR="000F5EDC" w:rsidRPr="009A198E" w:rsidRDefault="00621A3D" w:rsidP="000F5EDC">
      <w:pPr>
        <w:pStyle w:val="SpecPara4"/>
        <w:autoSpaceDE w:val="0"/>
        <w:autoSpaceDN w:val="0"/>
        <w:adjustRightInd w:val="0"/>
        <w:rPr>
          <w:rFonts w:cs="Arial"/>
        </w:rPr>
      </w:pPr>
      <w:r>
        <w:rPr>
          <w:rFonts w:cs="Arial"/>
          <w:lang w:val="es-MX"/>
        </w:rPr>
        <w:lastRenderedPageBreak/>
        <w:tab/>
      </w:r>
      <w:r w:rsidR="008278E2" w:rsidRPr="00214EE7">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[Security+ para un solo botón de código variable.] [Tipo llave de tres posiciones]</w:t>
      </w:r>
      <w:r w:rsidR="008278E2" w:rsidRPr="00214EE7">
        <w:rPr>
          <w:rFonts w:cs="Arial"/>
          <w:lang w:val="es-MX"/>
        </w:rPr>
        <w:t xml:space="preserve"> en un gabinete NEMA </w:t>
      </w:r>
      <w:r w:rsidR="008278E2" w:rsidRPr="0063445D">
        <w:rPr>
          <w:color w:val="FF0000"/>
          <w:lang w:val="es-MX"/>
        </w:rPr>
        <w:t>[1] [4] [4X] [7/9]</w:t>
      </w:r>
      <w:r w:rsidR="008278E2" w:rsidRPr="00214EE7">
        <w:rPr>
          <w:rFonts w:cs="Arial"/>
          <w:lang w:val="es-MX"/>
        </w:rPr>
        <w:t>.</w:t>
      </w:r>
    </w:p>
    <w:p w14:paraId="2535D2D7" w14:textId="3DB06E88" w:rsidR="000F5EDC" w:rsidRPr="004509CA" w:rsidRDefault="00621A3D" w:rsidP="000F5EDC">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tres botones.] [Security+ para tres botones de código variable]</w:t>
      </w:r>
    </w:p>
    <w:p w14:paraId="1CE64EC2" w14:textId="348D37FD" w:rsidR="000F5EDC" w:rsidRPr="004509CA" w:rsidRDefault="008278E2" w:rsidP="000F5EDC">
      <w:pPr>
        <w:pStyle w:val="SpecPara4"/>
        <w:autoSpaceDE w:val="0"/>
        <w:autoSpaceDN w:val="0"/>
        <w:adjustRightInd w:val="0"/>
        <w:rPr>
          <w:rFonts w:cs="Arial"/>
        </w:rPr>
      </w:pPr>
      <w:r w:rsidRPr="004509CA">
        <w:rPr>
          <w:rFonts w:cs="Arial"/>
          <w:lang w:val="es-MX"/>
        </w:rPr>
        <w:t xml:space="preserve"> </w:t>
      </w:r>
      <w:r w:rsidR="00621A3D">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4A683B59" w14:textId="28A9C3EC" w:rsidR="000F5EDC" w:rsidRPr="00AB4578" w:rsidRDefault="00621A3D" w:rsidP="000F5EDC">
      <w:pPr>
        <w:pStyle w:val="Level4"/>
      </w:pPr>
      <w:r>
        <w:rPr>
          <w:lang w:val="es-MX"/>
        </w:rPr>
        <w:tab/>
      </w:r>
      <w:r w:rsidR="008278E2" w:rsidRPr="004509CA">
        <w:rPr>
          <w:lang w:val="es-MX"/>
        </w:rPr>
        <w:t xml:space="preserve">Protección contra atrapamiento no monitoreada secundaria: </w:t>
      </w:r>
      <w:r w:rsidR="008278E2" w:rsidRPr="004509CA">
        <w:rPr>
          <w:rFonts w:cs="Arial"/>
          <w:color w:val="FF0000"/>
          <w:lang w:val="es-MX"/>
        </w:rPr>
        <w:t>[Cortina de luz.] [Borde de detección neumático.]</w:t>
      </w:r>
    </w:p>
    <w:p w14:paraId="1BB99B21" w14:textId="30493F2D" w:rsidR="000F5EDC" w:rsidRDefault="000F5EDC" w:rsidP="000F5EDC">
      <w:pPr>
        <w:pStyle w:val="Level4"/>
        <w:numPr>
          <w:ilvl w:val="0"/>
          <w:numId w:val="0"/>
        </w:num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C771C"/>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B78B9"/>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27557"/>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57"/>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C275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557"/>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5098</Characters>
  <Application>Microsoft Office Word</Application>
  <DocSecurity>0</DocSecurity>
  <Lines>42</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2021-07-02T16:40:00Z</dcterms:created>
  <dcterms:modified xsi:type="dcterms:W3CDTF">2021-07-02T16:50:00Z</dcterms:modified>
</cp:coreProperties>
</file>