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1B142EE" w14:textId="77777777" w:rsidR="004C5C3E" w:rsidRDefault="003A16CC">
      <w:pPr>
        <w:pStyle w:val="Level3"/>
      </w:pPr>
      <w:r>
        <w:rPr>
          <w:rFonts w:eastAsia="Arial"/>
          <w:lang w:val="fr-CA"/>
        </w:rPr>
        <w:tab/>
        <w:t>Actionneurs de porte :</w:t>
      </w:r>
    </w:p>
    <w:p w14:paraId="48616ECA" w14:textId="77777777" w:rsidR="004C5C3E" w:rsidRDefault="003A16CC">
      <w:pPr>
        <w:pStyle w:val="Level4"/>
      </w:pPr>
      <w:r>
        <w:rPr>
          <w:rFonts w:eastAsia="Arial"/>
          <w:lang w:val="fr-CA"/>
        </w:rPr>
        <w:tab/>
        <w:t>Modèle : APT.</w:t>
      </w:r>
    </w:p>
    <w:p w14:paraId="5CE41C6A" w14:textId="77777777" w:rsidR="004C5C3E" w:rsidRDefault="003A16CC">
      <w:pPr>
        <w:pStyle w:val="Level4"/>
      </w:pPr>
      <w:r>
        <w:rPr>
          <w:rFonts w:eastAsia="Arial"/>
          <w:lang w:val="fr-CA"/>
        </w:rPr>
        <w:t xml:space="preserve"> </w:t>
      </w:r>
      <w:r>
        <w:rPr>
          <w:rFonts w:eastAsia="Arial"/>
          <w:lang w:val="fr-CA"/>
        </w:rPr>
        <w:tab/>
        <w:t>Fonctionnement : Chariot.</w:t>
      </w:r>
    </w:p>
    <w:p w14:paraId="3622F0F7" w14:textId="77777777" w:rsidR="004C5C3E" w:rsidRDefault="003A16CC">
      <w:pPr>
        <w:pStyle w:val="Level4"/>
        <w:rPr>
          <w:lang w:val="fr-CA"/>
        </w:rPr>
      </w:pPr>
      <w:r>
        <w:rPr>
          <w:rFonts w:eastAsia="Arial"/>
          <w:lang w:val="fr-CA"/>
        </w:rPr>
        <w:tab/>
        <w:t>Type d’entraînement : Réduction primaire par courroie en V.</w:t>
      </w:r>
    </w:p>
    <w:p w14:paraId="75830121" w14:textId="77777777" w:rsidR="004C5C3E" w:rsidRDefault="003A16CC">
      <w:pPr>
        <w:pStyle w:val="Level4"/>
      </w:pPr>
      <w:r>
        <w:rPr>
          <w:rFonts w:eastAsia="Arial"/>
          <w:lang w:val="fr-CA"/>
        </w:rPr>
        <w:tab/>
        <w:t>Montage : Au plafond.</w:t>
      </w:r>
    </w:p>
    <w:p w14:paraId="3DCF412E"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Bras de déconnexion rapide de la porte.</w:t>
      </w:r>
    </w:p>
    <w:p w14:paraId="530454A8"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ou 125 cycles par jour</w:t>
      </w:r>
      <w:r>
        <w:rPr>
          <w:rFonts w:eastAsia="Arial" w:cs="Arial"/>
          <w:color w:val="000000"/>
          <w:lang w:val="fr-CA"/>
        </w:rPr>
        <w:t>.</w:t>
      </w:r>
    </w:p>
    <w:p w14:paraId="68308DCA"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29BC79A4"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3E935AB3" w14:textId="77777777" w:rsidR="004C5C3E" w:rsidRDefault="003A16CC">
      <w:pPr>
        <w:pStyle w:val="Level4"/>
        <w:rPr>
          <w:rFonts w:cs="Arial"/>
        </w:rPr>
      </w:pPr>
      <w:r>
        <w:rPr>
          <w:rFonts w:eastAsia="Arial" w:cs="Arial"/>
          <w:lang w:val="fr-CA"/>
        </w:rPr>
        <w:tab/>
        <w:t>Enceinte : NEMA 1.</w:t>
      </w:r>
    </w:p>
    <w:p w14:paraId="360B61D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15 à 18 cm/s (6 à 7 po/s). </w:t>
      </w:r>
    </w:p>
    <w:p w14:paraId="6DB63725"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avec technologie de code variable et les télécommandes des commutateurs DIP binaires. </w:t>
      </w:r>
    </w:p>
    <w:p w14:paraId="026E7AC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636A0E1F"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6AC9A92"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[DIP à trois boutons.] [Code variable à deux boutons Security+ 2.0.] [Code variable à quatre boutons Security+ 2.0.]</w:t>
      </w:r>
    </w:p>
    <w:p w14:paraId="56B2C5AE"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23567AC1" w14:textId="77777777" w:rsidR="004C5C3E" w:rsidRDefault="003A16CC">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w:t>
      </w:r>
      <w:r>
        <w:rPr>
          <w:rFonts w:eastAsia="Arial" w:cs="Arial"/>
          <w:color w:val="FF0000"/>
          <w:lang w:val="fr-CA"/>
        </w:rPr>
        <w:lastRenderedPageBreak/>
        <w:t>[Système de bordure de détection.] [Système optique de bordure de détection.] [Bordure de détection pneumatique.]</w:t>
      </w:r>
    </w:p>
    <w:p w14:paraId="47B01016" w14:textId="77777777" w:rsidR="004C5C3E" w:rsidRDefault="003A16CC">
      <w:pPr>
        <w:pStyle w:val="Level4"/>
        <w:rPr>
          <w:lang w:val="fr-CA"/>
        </w:rPr>
      </w:pPr>
      <w:r>
        <w:rPr>
          <w:rFonts w:eastAsia="Arial"/>
          <w:color w:val="FF0000"/>
          <w:lang w:val="fr-CA"/>
        </w:rPr>
        <w:t xml:space="preserve"> </w:t>
      </w:r>
      <w:r>
        <w:rPr>
          <w:rFonts w:eastAsia="Arial"/>
          <w:color w:val="FF0000"/>
          <w:lang w:val="fr-CA"/>
        </w:rPr>
        <w:tab/>
      </w:r>
      <w:r>
        <w:rPr>
          <w:rFonts w:eastAsia="Arial" w:cs="Arial"/>
          <w:lang w:val="fr-CA"/>
        </w:rPr>
        <w:t>Rail : Rail en L de chariot double.</w:t>
      </w:r>
    </w:p>
    <w:p w14:paraId="4865EAE4"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w:t>
      </w:r>
      <w:proofErr w:type="spellStart"/>
      <w:r>
        <w:rPr>
          <w:rFonts w:eastAsia="Arial"/>
          <w:color w:val="0070C0"/>
          <w:lang w:val="fr-CA"/>
        </w:rPr>
        <w:t>ACouleur</w:t>
      </w:r>
      <w:proofErr w:type="spellEnd"/>
      <w:r>
        <w:rPr>
          <w:rFonts w:eastAsia="Arial"/>
          <w:color w:val="0070C0"/>
          <w:lang w:val="fr-CA"/>
        </w:rPr>
        <w:t xml:space="preserve">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w:t>
      </w:r>
      <w:proofErr w:type="spellStart"/>
      <w:r>
        <w:rPr>
          <w:rFonts w:eastAsia="Arial"/>
          <w:color w:val="0070C0"/>
          <w:lang w:val="fr-CA"/>
        </w:rPr>
        <w:t>SimpleSpecsMC</w:t>
      </w:r>
      <w:proofErr w:type="spellEnd"/>
      <w:r>
        <w:rPr>
          <w:rFonts w:eastAsia="Arial"/>
          <w:color w:val="0070C0"/>
          <w:lang w:val="fr-CA"/>
        </w:rPr>
        <w:t xml:space="preserve">. Le système de spécifications du guide maître </w:t>
      </w:r>
      <w:proofErr w:type="spellStart"/>
      <w:r>
        <w:rPr>
          <w:rFonts w:eastAsia="Arial"/>
          <w:color w:val="0070C0"/>
          <w:lang w:val="fr-CA"/>
        </w:rPr>
        <w:t>SimpleSpecsMC</w:t>
      </w:r>
      <w:proofErr w:type="spellEnd"/>
      <w:r>
        <w:rPr>
          <w:rFonts w:eastAsia="Arial"/>
          <w:color w:val="0070C0"/>
          <w:lang w:val="fr-CA"/>
        </w:rPr>
        <w:t xml:space="preserve"> comprend une spécification architecturale maître complète qui peut être utilisée pour spécifier toutes les exigences du projet. Pour de plus amples informations sur les produits </w:t>
      </w:r>
      <w:proofErr w:type="spellStart"/>
      <w:r>
        <w:rPr>
          <w:rFonts w:eastAsia="Arial"/>
          <w:color w:val="0070C0"/>
          <w:lang w:val="fr-CA"/>
        </w:rPr>
        <w:t>SimpleSpecsMC</w:t>
      </w:r>
      <w:proofErr w:type="spellEnd"/>
      <w:r>
        <w:rPr>
          <w:rFonts w:eastAsia="Arial"/>
          <w:color w:val="0070C0"/>
          <w:lang w:val="fr-CA"/>
        </w:rPr>
        <w:t xml:space="preserve">,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39D7" w14:textId="77777777" w:rsidR="004C5C3E" w:rsidRDefault="003A16CC">
      <w:r>
        <w:separator/>
      </w:r>
    </w:p>
  </w:endnote>
  <w:endnote w:type="continuationSeparator" w:id="0">
    <w:p w14:paraId="30D1A00A" w14:textId="77777777" w:rsidR="004C5C3E" w:rsidRDefault="003A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1B10" w14:textId="77777777" w:rsidR="004C5C3E" w:rsidRDefault="003A16CC">
      <w:r>
        <w:separator/>
      </w:r>
    </w:p>
  </w:footnote>
  <w:footnote w:type="continuationSeparator" w:id="0">
    <w:p w14:paraId="18726ECE" w14:textId="77777777" w:rsidR="004C5C3E" w:rsidRDefault="003A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2D632A"/>
    <w:rsid w:val="003A16CC"/>
    <w:rsid w:val="004C5C3E"/>
    <w:rsid w:val="004E233F"/>
    <w:rsid w:val="00862B6D"/>
    <w:rsid w:val="00C60C50"/>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49</TotalTime>
  <Pages>2</Pages>
  <Words>423</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2022-05-24T18:36:00Z</dcterms:created>
  <dcterms:modified xsi:type="dcterms:W3CDTF">2022-05-24T18:37:00Z</dcterms:modified>
</cp:coreProperties>
</file>