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1B365F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proofErr w:type="spellStart"/>
      <w:r w:rsidRPr="009F4AE8">
        <w:rPr>
          <w:rFonts w:ascii="WP TypographicSymbols" w:hAnsi="WP TypographicSymbols" w:cs="Arial"/>
          <w:vanish/>
          <w:color w:val="0070C0"/>
          <w:lang w:val="es-MX"/>
        </w:rPr>
        <w:t>A</w:t>
      </w:r>
      <w:r w:rsidRPr="009F4AE8">
        <w:rPr>
          <w:rFonts w:cs="Arial"/>
          <w:vanish/>
          <w:color w:val="0070C0"/>
          <w:lang w:val="es-MX"/>
        </w:rPr>
        <w:t>Color</w:t>
      </w:r>
      <w:proofErr w:type="spellEnd"/>
      <w:r w:rsidRPr="009F4AE8">
        <w:rPr>
          <w:rFonts w:cs="Arial"/>
          <w:vanish/>
          <w:color w:val="0070C0"/>
          <w:lang w:val="es-MX"/>
        </w:rPr>
        <w:t xml:space="preserve">: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7B9A8F29"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w:t>
      </w:r>
      <w:proofErr w:type="spellStart"/>
      <w:r w:rsidRPr="009F4AE8">
        <w:rPr>
          <w:rFonts w:cs="Arial"/>
          <w:vanish/>
          <w:color w:val="0070C0"/>
          <w:lang w:val="es-MX"/>
        </w:rPr>
        <w:t>SimpleSpecs</w:t>
      </w:r>
      <w:proofErr w:type="spellEnd"/>
      <w:r w:rsidRPr="009F4AE8">
        <w:rPr>
          <w:rFonts w:cs="Arial"/>
          <w:vanish/>
          <w:color w:val="0070C0"/>
          <w:lang w:val="es-MX"/>
        </w:rPr>
        <w:t xml:space="preserve">™. El sistema de especificaciones guía maestro </w:t>
      </w:r>
      <w:proofErr w:type="spellStart"/>
      <w:r w:rsidRPr="009F4AE8">
        <w:rPr>
          <w:rFonts w:cs="Arial"/>
          <w:vanish/>
          <w:color w:val="0070C0"/>
          <w:lang w:val="es-MX"/>
        </w:rPr>
        <w:t>SimpleSpecs</w:t>
      </w:r>
      <w:proofErr w:type="spellEnd"/>
      <w:r w:rsidRPr="009F4AE8">
        <w:rPr>
          <w:rFonts w:cs="Arial"/>
          <w:vanish/>
          <w:color w:val="0070C0"/>
          <w:lang w:val="es-MX"/>
        </w:rPr>
        <w:t xml:space="preserve">™ consta de una completa especificación maestra arquitectónica que se puede utilizar para especificar todos los requisitos del proyecto. Para obtener información adicional sobre los productos </w:t>
      </w:r>
      <w:proofErr w:type="spellStart"/>
      <w:r w:rsidRPr="009F4AE8">
        <w:rPr>
          <w:rFonts w:cs="Arial"/>
          <w:vanish/>
          <w:color w:val="0070C0"/>
          <w:lang w:val="es-MX"/>
        </w:rPr>
        <w:t>SimpleSpecs</w:t>
      </w:r>
      <w:proofErr w:type="spellEnd"/>
      <w:r w:rsidRPr="009F4AE8">
        <w:rPr>
          <w:rFonts w:cs="Arial"/>
          <w:vanish/>
          <w:color w:val="0070C0"/>
          <w:lang w:val="es-MX"/>
        </w:rPr>
        <w:t xml:space="preserve">™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233AA7ED" w14:textId="3136DC6B" w:rsidR="009D1FA9" w:rsidRPr="009F4AE8" w:rsidRDefault="008278E2" w:rsidP="009D1FA9">
      <w:pPr>
        <w:rPr>
          <w:rFonts w:cs="Arial"/>
          <w:color w:val="0070C0"/>
        </w:rPr>
      </w:pPr>
      <w:r w:rsidRPr="009F4AE8">
        <w:rPr>
          <w:rFonts w:cs="Arial"/>
          <w:vanish/>
          <w:color w:val="0070C0"/>
          <w:lang w:val="es-MX"/>
        </w:rPr>
        <w:t>Conserve lo siguiente para un operador industrial de eje transversal con seguro de puerta de servicio estándar para rejillas y puertas enrollables de techo y puertas seccionadas de elevación alta y elevación vertical que requieran una desconexión a nivel del suelo para la operación manual. Consulte la documentación técnica de LiftMaster para conocer los tamaños y pesos máximos de las puertas.</w:t>
      </w:r>
    </w:p>
    <w:p w14:paraId="1C48EA38" w14:textId="77777777" w:rsidR="009D1FA9" w:rsidRPr="009F4AE8" w:rsidRDefault="009D1FA9" w:rsidP="009D1FA9">
      <w:pPr>
        <w:rPr>
          <w:rFonts w:cs="Arial"/>
          <w:color w:val="0070C0"/>
        </w:rPr>
      </w:pPr>
    </w:p>
    <w:p w14:paraId="344E25E2" w14:textId="42D690CC" w:rsidR="009D1FA9" w:rsidRPr="004509CA" w:rsidRDefault="00DE3C5C" w:rsidP="009D1FA9">
      <w:pPr>
        <w:pStyle w:val="Level3"/>
      </w:pPr>
      <w:r>
        <w:rPr>
          <w:lang w:val="es-MX"/>
        </w:rPr>
        <w:tab/>
      </w:r>
      <w:r w:rsidR="008278E2" w:rsidRPr="004509CA">
        <w:rPr>
          <w:lang w:val="es-MX"/>
        </w:rPr>
        <w:t>Operadores de puerta:</w:t>
      </w:r>
    </w:p>
    <w:p w14:paraId="35102A24" w14:textId="3C7DBB93" w:rsidR="009D1FA9" w:rsidRPr="004509CA" w:rsidRDefault="00DE3C5C" w:rsidP="009D1FA9">
      <w:pPr>
        <w:pStyle w:val="Level4"/>
      </w:pPr>
      <w:r>
        <w:rPr>
          <w:lang w:val="es-MX"/>
        </w:rPr>
        <w:tab/>
      </w:r>
      <w:r w:rsidR="008278E2" w:rsidRPr="004509CA">
        <w:rPr>
          <w:lang w:val="es-MX"/>
        </w:rPr>
        <w:t>Modelo: DJ.</w:t>
      </w:r>
    </w:p>
    <w:p w14:paraId="482D7527" w14:textId="3E91CB99" w:rsidR="009D1FA9" w:rsidRDefault="008278E2" w:rsidP="009D1FA9">
      <w:pPr>
        <w:pStyle w:val="Level4"/>
      </w:pPr>
      <w:r w:rsidRPr="004509CA">
        <w:rPr>
          <w:lang w:val="es-MX"/>
        </w:rPr>
        <w:t xml:space="preserve"> </w:t>
      </w:r>
      <w:r w:rsidR="00DE3C5C">
        <w:rPr>
          <w:lang w:val="es-MX"/>
        </w:rPr>
        <w:tab/>
      </w:r>
      <w:r w:rsidRPr="004509CA">
        <w:rPr>
          <w:lang w:val="es-MX"/>
        </w:rPr>
        <w:t>Funcionamiento: Eje transversal con seguro de puerta.</w:t>
      </w:r>
    </w:p>
    <w:p w14:paraId="12F43D5A" w14:textId="7A3C7436" w:rsidR="009D1FA9" w:rsidRPr="004509CA" w:rsidRDefault="008278E2" w:rsidP="009D1FA9">
      <w:pPr>
        <w:pStyle w:val="Level4"/>
      </w:pPr>
      <w:r>
        <w:rPr>
          <w:lang w:val="es-MX"/>
        </w:rPr>
        <w:t xml:space="preserve"> </w:t>
      </w:r>
      <w:r w:rsidR="00DE3C5C">
        <w:rPr>
          <w:lang w:val="es-MX"/>
        </w:rPr>
        <w:tab/>
      </w:r>
      <w:r>
        <w:rPr>
          <w:lang w:val="es-MX"/>
        </w:rPr>
        <w:t>Tipo de transmisión: Reducción primaria de correa en V.</w:t>
      </w:r>
    </w:p>
    <w:p w14:paraId="3EE2538D" w14:textId="7C432E54" w:rsidR="009D1FA9" w:rsidRPr="004509CA" w:rsidRDefault="00DE3C5C" w:rsidP="009D1FA9">
      <w:pPr>
        <w:pStyle w:val="Level4"/>
      </w:pPr>
      <w:r>
        <w:rPr>
          <w:lang w:val="es-MX"/>
        </w:rPr>
        <w:tab/>
      </w:r>
      <w:r w:rsidR="008278E2" w:rsidRPr="004509CA">
        <w:rPr>
          <w:lang w:val="es-MX"/>
        </w:rPr>
        <w:t xml:space="preserve">Montaje: </w:t>
      </w:r>
      <w:r w:rsidR="008278E2" w:rsidRPr="004509CA">
        <w:rPr>
          <w:color w:val="FF0000"/>
          <w:lang w:val="es-MX"/>
        </w:rPr>
        <w:t>[Pared.] [Campana de la puerta.]</w:t>
      </w:r>
    </w:p>
    <w:p w14:paraId="0BAC285C" w14:textId="38555051" w:rsidR="009D1FA9" w:rsidRPr="004509CA" w:rsidRDefault="00DE3C5C" w:rsidP="009D1FA9">
      <w:pPr>
        <w:pStyle w:val="Level4"/>
      </w:pPr>
      <w:r>
        <w:rPr>
          <w:lang w:val="es-MX"/>
        </w:rPr>
        <w:tab/>
      </w:r>
      <w:r w:rsidR="008278E2" w:rsidRPr="004509CA">
        <w:rPr>
          <w:lang w:val="es-MX"/>
        </w:rPr>
        <w:t xml:space="preserve">Desconexión para operación manual: Cadena de contrapeso de liberación de emergencia a nivel del suelo. </w:t>
      </w:r>
    </w:p>
    <w:p w14:paraId="6695069E" w14:textId="3BF6FA62" w:rsidR="009D1FA9" w:rsidRPr="004509CA" w:rsidRDefault="00DE3C5C" w:rsidP="009D1FA9">
      <w:pPr>
        <w:pStyle w:val="Level4"/>
        <w:rPr>
          <w:rFonts w:cs="Arial"/>
          <w:color w:val="000000" w:themeColor="text1"/>
        </w:rPr>
      </w:pPr>
      <w:r>
        <w:rPr>
          <w:rFonts w:cs="Arial"/>
          <w:color w:val="000000" w:themeColor="text1"/>
          <w:lang w:val="es-MX"/>
        </w:rPr>
        <w:tab/>
      </w:r>
      <w:r w:rsidR="008278E2" w:rsidRPr="004509CA">
        <w:rPr>
          <w:rFonts w:cs="Arial"/>
          <w:color w:val="000000" w:themeColor="text1"/>
          <w:lang w:val="es-MX"/>
        </w:rPr>
        <w:t xml:space="preserve">Ciclo de trabajo nominal: </w:t>
      </w:r>
      <w:r w:rsidR="008278E2" w:rsidRPr="004509CA">
        <w:rPr>
          <w:rFonts w:cs="Arial"/>
          <w:color w:val="000000" w:themeColor="text1"/>
          <w:shd w:val="clear" w:color="auto" w:fill="FFFFFF"/>
          <w:lang w:val="es-MX"/>
        </w:rPr>
        <w:t>25 ciclos por hora como máximo y 90 ciclos por día</w:t>
      </w:r>
      <w:r w:rsidR="008278E2" w:rsidRPr="004509CA">
        <w:rPr>
          <w:rFonts w:cs="Arial"/>
          <w:color w:val="000000" w:themeColor="text1"/>
          <w:lang w:val="es-MX"/>
        </w:rPr>
        <w:t>.</w:t>
      </w:r>
    </w:p>
    <w:p w14:paraId="7E2BDA40" w14:textId="0CF05BF8" w:rsidR="009D1FA9" w:rsidRPr="004509CA" w:rsidRDefault="008278E2" w:rsidP="009D1FA9">
      <w:pPr>
        <w:pStyle w:val="Level4"/>
        <w:rPr>
          <w:rFonts w:cs="Arial"/>
        </w:rPr>
      </w:pPr>
      <w:r w:rsidRPr="004509CA">
        <w:rPr>
          <w:rFonts w:cs="Arial"/>
          <w:lang w:val="es-MX"/>
        </w:rPr>
        <w:t xml:space="preserve"> </w:t>
      </w:r>
      <w:r w:rsidR="00DE3C5C">
        <w:rPr>
          <w:rFonts w:cs="Arial"/>
          <w:lang w:val="es-MX"/>
        </w:rPr>
        <w:tab/>
      </w:r>
      <w:r w:rsidRPr="004509CA">
        <w:rPr>
          <w:rFonts w:cs="Arial"/>
          <w:lang w:val="es-MX"/>
        </w:rPr>
        <w:t>Cumple la norma UL 325.</w:t>
      </w:r>
    </w:p>
    <w:p w14:paraId="7360B6F1" w14:textId="7C04EED0" w:rsidR="009D1FA9" w:rsidRDefault="008278E2" w:rsidP="009D1FA9">
      <w:pPr>
        <w:pStyle w:val="Level4"/>
        <w:rPr>
          <w:rFonts w:cs="Arial"/>
        </w:rPr>
      </w:pPr>
      <w:r w:rsidRPr="004509CA">
        <w:rPr>
          <w:rFonts w:cs="Arial"/>
          <w:lang w:val="es-MX"/>
        </w:rPr>
        <w:t xml:space="preserve"> </w:t>
      </w:r>
      <w:r w:rsidR="00DE3C5C">
        <w:rPr>
          <w:rFonts w:cs="Arial"/>
          <w:lang w:val="es-MX"/>
        </w:rPr>
        <w:tab/>
      </w:r>
      <w:r w:rsidRPr="004509CA">
        <w:rPr>
          <w:rFonts w:cs="Arial"/>
          <w:lang w:val="es-MX"/>
        </w:rPr>
        <w:t xml:space="preserve">Motor: Certificación de </w:t>
      </w:r>
      <w:proofErr w:type="spellStart"/>
      <w:r w:rsidRPr="004509CA">
        <w:rPr>
          <w:rFonts w:cs="Arial"/>
          <w:lang w:val="es-MX"/>
        </w:rPr>
        <w:t>Underwriters</w:t>
      </w:r>
      <w:proofErr w:type="spellEnd"/>
      <w:r w:rsidRPr="004509CA">
        <w:rPr>
          <w:rFonts w:cs="Arial"/>
          <w:lang w:val="es-MX"/>
        </w:rPr>
        <w:t xml:space="preserve"> </w:t>
      </w:r>
      <w:proofErr w:type="spellStart"/>
      <w:r w:rsidRPr="004509CA">
        <w:rPr>
          <w:rFonts w:cs="Arial"/>
          <w:lang w:val="es-MX"/>
        </w:rPr>
        <w:t>Laboratories</w:t>
      </w:r>
      <w:proofErr w:type="spellEnd"/>
      <w:r w:rsidRPr="004509CA">
        <w:rPr>
          <w:rFonts w:cs="Arial"/>
          <w:lang w:val="es-MX"/>
        </w:rPr>
        <w:t>, según condiciones de tamaño de la puerta.</w:t>
      </w:r>
    </w:p>
    <w:p w14:paraId="605738C1" w14:textId="644AAAD4" w:rsidR="009D1FA9" w:rsidRPr="004509CA" w:rsidRDefault="008278E2" w:rsidP="009D1FA9">
      <w:pPr>
        <w:pStyle w:val="Level4"/>
        <w:rPr>
          <w:rFonts w:cs="Arial"/>
        </w:rPr>
      </w:pPr>
      <w:r>
        <w:rPr>
          <w:rFonts w:cs="Arial"/>
          <w:lang w:val="es-MX"/>
        </w:rPr>
        <w:t xml:space="preserve"> </w:t>
      </w:r>
      <w:r w:rsidR="00DE3C5C">
        <w:rPr>
          <w:rFonts w:cs="Arial"/>
          <w:lang w:val="es-MX"/>
        </w:rPr>
        <w:tab/>
      </w:r>
      <w:r>
        <w:rPr>
          <w:rFonts w:cs="Arial"/>
          <w:lang w:val="es-MX"/>
        </w:rPr>
        <w:t>Gabinete: NEMA 1.</w:t>
      </w:r>
    </w:p>
    <w:p w14:paraId="0D293209" w14:textId="1F887E3B" w:rsidR="009D1FA9" w:rsidRPr="004509CA" w:rsidRDefault="008278E2" w:rsidP="009D1FA9">
      <w:pPr>
        <w:pStyle w:val="Level4"/>
        <w:rPr>
          <w:rFonts w:cs="Arial"/>
        </w:rPr>
      </w:pPr>
      <w:r w:rsidRPr="004509CA">
        <w:rPr>
          <w:rFonts w:cs="Arial"/>
          <w:lang w:val="es-MX"/>
        </w:rPr>
        <w:lastRenderedPageBreak/>
        <w:t xml:space="preserve"> </w:t>
      </w:r>
      <w:r w:rsidR="00DE3C5C">
        <w:rPr>
          <w:rFonts w:cs="Arial"/>
          <w:lang w:val="es-MX"/>
        </w:rPr>
        <w:tab/>
      </w:r>
      <w:r w:rsidRPr="004509CA">
        <w:rPr>
          <w:rFonts w:cs="Arial"/>
          <w:lang w:val="es-MX"/>
        </w:rPr>
        <w:t xml:space="preserve">Velocidad de desplazamiento: 27.9 a 30.5 cm (8 a 9 </w:t>
      </w:r>
      <w:proofErr w:type="spellStart"/>
      <w:r w:rsidRPr="004509CA">
        <w:rPr>
          <w:rFonts w:cs="Arial"/>
          <w:lang w:val="es-MX"/>
        </w:rPr>
        <w:t>pulg</w:t>
      </w:r>
      <w:proofErr w:type="spellEnd"/>
      <w:r w:rsidRPr="004509CA">
        <w:rPr>
          <w:rFonts w:cs="Arial"/>
          <w:lang w:val="es-MX"/>
        </w:rPr>
        <w:t xml:space="preserve">.) por segundo. </w:t>
      </w:r>
    </w:p>
    <w:p w14:paraId="007148A8" w14:textId="525F5089" w:rsidR="009D1FA9" w:rsidRPr="004509CA" w:rsidRDefault="008278E2" w:rsidP="009D1FA9">
      <w:pPr>
        <w:pStyle w:val="Level4"/>
      </w:pPr>
      <w:r w:rsidRPr="004509CA">
        <w:rPr>
          <w:lang w:val="es-MX"/>
        </w:rPr>
        <w:t xml:space="preserve"> </w:t>
      </w:r>
      <w:r w:rsidR="00DE3C5C">
        <w:rPr>
          <w:lang w:val="es-MX"/>
        </w:rPr>
        <w:tab/>
      </w:r>
      <w:r w:rsidRPr="004509CA">
        <w:rPr>
          <w:lang w:val="es-MX"/>
        </w:rPr>
        <w:t xml:space="preserve">Receptor de radio: </w:t>
      </w:r>
      <w:r w:rsidRPr="00AF57B1">
        <w:rPr>
          <w:sz w:val="24"/>
          <w:szCs w:val="24"/>
          <w:lang w:val="en-CA"/>
        </w:rPr>
        <w:fldChar w:fldCharType="begin"/>
      </w:r>
      <w:r w:rsidRPr="00AF57B1">
        <w:rPr>
          <w:sz w:val="24"/>
          <w:szCs w:val="24"/>
          <w:lang w:val="en-CA"/>
        </w:rPr>
        <w:instrText xml:space="preserve"> SEQ CHAPTER \h \r 1</w:instrText>
      </w:r>
      <w:r w:rsidRPr="00AF57B1">
        <w:rPr>
          <w:sz w:val="24"/>
          <w:szCs w:val="24"/>
          <w:lang w:val="en-CA"/>
        </w:rPr>
        <w:fldChar w:fldCharType="end"/>
      </w:r>
      <w:proofErr w:type="spellStart"/>
      <w:r w:rsidRPr="004509CA">
        <w:rPr>
          <w:lang w:val="es-MX"/>
        </w:rPr>
        <w:t>Logic</w:t>
      </w:r>
      <w:proofErr w:type="spellEnd"/>
      <w:r w:rsidRPr="004509CA">
        <w:rPr>
          <w:lang w:val="es-MX"/>
        </w:rPr>
        <w:t xml:space="preserve"> 5.0 incorporado; acepta controles remotos con tecnología de código variable Security+ y controles remotos con interruptores DIP </w:t>
      </w:r>
      <w:proofErr w:type="spellStart"/>
      <w:r w:rsidRPr="004509CA">
        <w:rPr>
          <w:lang w:val="es-MX"/>
        </w:rPr>
        <w:t>trinarios</w:t>
      </w:r>
      <w:proofErr w:type="spellEnd"/>
      <w:r w:rsidRPr="004509CA">
        <w:rPr>
          <w:lang w:val="es-MX"/>
        </w:rPr>
        <w:t xml:space="preserve">. </w:t>
      </w:r>
    </w:p>
    <w:p w14:paraId="14FD1027" w14:textId="2DA16CF7" w:rsidR="009D1FA9" w:rsidRPr="004509CA" w:rsidRDefault="008278E2" w:rsidP="009D1FA9">
      <w:pPr>
        <w:pStyle w:val="Level4"/>
      </w:pPr>
      <w:r w:rsidRPr="004509CA">
        <w:rPr>
          <w:lang w:val="es-MX"/>
        </w:rPr>
        <w:t xml:space="preserve">  </w:t>
      </w:r>
      <w:r w:rsidR="00DE3C5C">
        <w:rPr>
          <w:lang w:val="es-MX"/>
        </w:rPr>
        <w:tab/>
      </w:r>
      <w:r w:rsidRPr="004509CA">
        <w:rPr>
          <w:lang w:val="es-MX"/>
        </w:rPr>
        <w:t xml:space="preserve">Conectividad a Internet: </w:t>
      </w:r>
      <w:bookmarkStart w:id="2" w:name="_Hlk63166806"/>
      <w:r w:rsidRPr="004509CA">
        <w:rPr>
          <w:lang w:val="es-MX"/>
        </w:rPr>
        <w:t xml:space="preserve">Tecnología myQ con 50 Canales de FHSS </w:t>
      </w:r>
    </w:p>
    <w:p w14:paraId="4B6167B5" w14:textId="35EE3008" w:rsidR="009D1FA9" w:rsidRPr="00F95E8E" w:rsidRDefault="00DE3C5C" w:rsidP="009D1FA9">
      <w:pPr>
        <w:pStyle w:val="SpecPara4"/>
        <w:autoSpaceDE w:val="0"/>
        <w:autoSpaceDN w:val="0"/>
        <w:adjustRightInd w:val="0"/>
        <w:rPr>
          <w:rFonts w:cs="Arial"/>
        </w:rPr>
      </w:pPr>
      <w:r>
        <w:rPr>
          <w:rFonts w:cs="Arial"/>
          <w:lang w:val="es-MX"/>
        </w:rPr>
        <w:tab/>
      </w:r>
      <w:r w:rsidR="008278E2" w:rsidRPr="004509CA">
        <w:rPr>
          <w:rFonts w:cs="Arial"/>
          <w:lang w:val="es-MX"/>
        </w:rPr>
        <w:t xml:space="preserve">Estación de control: </w:t>
      </w:r>
      <w:r w:rsidR="008278E2" w:rsidRPr="009A198E">
        <w:rPr>
          <w:color w:val="FF0000"/>
          <w:lang w:val="es-MX"/>
        </w:rPr>
        <w:t>[T</w:t>
      </w:r>
      <w:r>
        <w:rPr>
          <w:color w:val="FF0000"/>
          <w:lang w:val="es-MX"/>
        </w:rPr>
        <w:t>ipo t</w:t>
      </w:r>
      <w:r w:rsidR="008278E2" w:rsidRPr="009A198E">
        <w:rPr>
          <w:color w:val="FF0000"/>
          <w:lang w:val="es-MX"/>
        </w:rPr>
        <w:t>res botones pulsadores] [Tipo llave de tres posiciones]</w:t>
      </w:r>
      <w:r w:rsidR="008278E2" w:rsidRPr="004509CA">
        <w:rPr>
          <w:rFonts w:cs="Arial"/>
          <w:lang w:val="es-MX"/>
        </w:rPr>
        <w:t xml:space="preserve"> en un gabinete NEMA </w:t>
      </w:r>
      <w:r w:rsidR="008278E2" w:rsidRPr="0063445D">
        <w:rPr>
          <w:color w:val="FF0000"/>
          <w:lang w:val="es-MX"/>
        </w:rPr>
        <w:t>[1] [4] [4X] [7/9]</w:t>
      </w:r>
      <w:r w:rsidR="008278E2" w:rsidRPr="004509CA">
        <w:rPr>
          <w:rFonts w:cs="Arial"/>
          <w:lang w:val="es-MX"/>
        </w:rPr>
        <w:t>.</w:t>
      </w:r>
    </w:p>
    <w:p w14:paraId="3F50D470" w14:textId="74CD4722" w:rsidR="00F95E8E" w:rsidRPr="009A198E" w:rsidRDefault="008278E2" w:rsidP="009D1FA9">
      <w:pPr>
        <w:pStyle w:val="SpecPara4"/>
        <w:autoSpaceDE w:val="0"/>
        <w:autoSpaceDN w:val="0"/>
        <w:adjustRightInd w:val="0"/>
        <w:rPr>
          <w:rFonts w:cs="Arial"/>
        </w:rPr>
      </w:pPr>
      <w:r>
        <w:rPr>
          <w:rFonts w:cs="Arial"/>
          <w:lang w:val="es-MX"/>
        </w:rPr>
        <w:t xml:space="preserve"> </w:t>
      </w:r>
      <w:r w:rsidR="00DE3C5C">
        <w:rPr>
          <w:rFonts w:cs="Arial"/>
          <w:lang w:val="es-MX"/>
        </w:rPr>
        <w:tab/>
      </w:r>
      <w:r>
        <w:rPr>
          <w:rFonts w:cs="Arial"/>
          <w:lang w:val="es-MX"/>
        </w:rPr>
        <w:t>Circuito de detección para prevenir la operación de la puerta cuando la puerta está bloqueada.</w:t>
      </w:r>
    </w:p>
    <w:p w14:paraId="72D4714A" w14:textId="022EE714" w:rsidR="009D1FA9" w:rsidRPr="004509CA" w:rsidRDefault="008278E2" w:rsidP="009D1FA9">
      <w:pPr>
        <w:pStyle w:val="SpecPara4"/>
        <w:autoSpaceDE w:val="0"/>
        <w:autoSpaceDN w:val="0"/>
        <w:adjustRightInd w:val="0"/>
        <w:rPr>
          <w:rFonts w:cs="Arial"/>
        </w:rPr>
      </w:pPr>
      <w:r>
        <w:rPr>
          <w:rFonts w:cs="Arial"/>
          <w:lang w:val="es-MX"/>
        </w:rPr>
        <w:t xml:space="preserve"> </w:t>
      </w:r>
      <w:r w:rsidR="00DE3C5C">
        <w:rPr>
          <w:rFonts w:cs="Arial"/>
          <w:lang w:val="es-MX"/>
        </w:rPr>
        <w:tab/>
      </w:r>
      <w:r>
        <w:rPr>
          <w:rFonts w:cs="Arial"/>
          <w:lang w:val="es-MX"/>
        </w:rPr>
        <w:t xml:space="preserve">Controles remotos: </w:t>
      </w:r>
      <w:r w:rsidRPr="009A198E">
        <w:rPr>
          <w:color w:val="FF0000"/>
          <w:lang w:val="es-MX"/>
        </w:rPr>
        <w:t>[DIP de un botón.] [DIP de tres botones.] [Security+ 2.0 para dos botones de código variable] [Security+ 2.0 para tres botones de código variable] [Security+ 2.0 para cuatro botones de código variable]</w:t>
      </w:r>
    </w:p>
    <w:p w14:paraId="5B0B2702" w14:textId="1CE58E51" w:rsidR="009D1FA9" w:rsidRPr="004509CA" w:rsidRDefault="008278E2" w:rsidP="009D1FA9">
      <w:pPr>
        <w:pStyle w:val="SpecPara4"/>
        <w:autoSpaceDE w:val="0"/>
        <w:autoSpaceDN w:val="0"/>
        <w:adjustRightInd w:val="0"/>
        <w:rPr>
          <w:rFonts w:cs="Arial"/>
        </w:rPr>
      </w:pPr>
      <w:bookmarkStart w:id="3" w:name="_Hlk64897648"/>
      <w:r w:rsidRPr="004509CA">
        <w:rPr>
          <w:rFonts w:cs="Arial"/>
          <w:lang w:val="es-MX"/>
        </w:rPr>
        <w:t xml:space="preserve">  Protección contra atrapamiento primaria monitoreada:</w:t>
      </w:r>
      <w:bookmarkEnd w:id="2"/>
      <w:r w:rsidRPr="004509CA">
        <w:rPr>
          <w:rFonts w:cs="Arial"/>
          <w:lang w:val="es-MX"/>
        </w:rPr>
        <w:t xml:space="preserve"> </w:t>
      </w:r>
      <w:r w:rsidRPr="004509CA">
        <w:rPr>
          <w:rFonts w:cs="Arial"/>
          <w:color w:val="FF0000"/>
          <w:lang w:val="es-MX"/>
        </w:rPr>
        <w:t xml:space="preserve">[Sensores fotoeléctricos, carcasa rígida.] [Sensores fotoeléctricos, carcasa flexible.] [Cortina de luz.] [Sistema de sensor </w:t>
      </w:r>
      <w:proofErr w:type="spellStart"/>
      <w:r w:rsidRPr="004509CA">
        <w:rPr>
          <w:rFonts w:cs="Arial"/>
          <w:color w:val="FF0000"/>
          <w:lang w:val="es-MX"/>
        </w:rPr>
        <w:t>retrorreflectante</w:t>
      </w:r>
      <w:proofErr w:type="spellEnd"/>
      <w:r w:rsidRPr="004509CA">
        <w:rPr>
          <w:rFonts w:cs="Arial"/>
          <w:color w:val="FF0000"/>
          <w:lang w:val="es-MX"/>
        </w:rPr>
        <w:t>.] [Sistema de borde de detección.] [Sistema de borde de detección óptico.]</w:t>
      </w:r>
    </w:p>
    <w:bookmarkEnd w:id="3"/>
    <w:p w14:paraId="55E44CC5" w14:textId="41370E2D" w:rsidR="009D1FA9" w:rsidRPr="009A198E" w:rsidRDefault="008278E2" w:rsidP="009D1FA9">
      <w:pPr>
        <w:pStyle w:val="SpecPara4"/>
        <w:autoSpaceDE w:val="0"/>
        <w:autoSpaceDN w:val="0"/>
        <w:adjustRightInd w:val="0"/>
        <w:rPr>
          <w:rFonts w:cs="Arial"/>
        </w:rPr>
      </w:pPr>
      <w:r w:rsidRPr="004509CA">
        <w:rPr>
          <w:rFonts w:cs="Arial"/>
          <w:lang w:val="es-MX"/>
        </w:rPr>
        <w:t xml:space="preserve">Protección contra atrapamiento no monitoreada secundaria: </w:t>
      </w:r>
      <w:r w:rsidRPr="004509CA">
        <w:rPr>
          <w:rFonts w:cs="Arial"/>
          <w:color w:val="FF0000"/>
          <w:lang w:val="es-MX"/>
        </w:rPr>
        <w:t xml:space="preserve">[Sensores fotoeléctricos, carcasa rígida.] [Sensores fotoeléctricos, carcasa flexible.] [Cortina de luz.] [Sistema de sensor </w:t>
      </w:r>
      <w:proofErr w:type="spellStart"/>
      <w:r w:rsidRPr="004509CA">
        <w:rPr>
          <w:rFonts w:cs="Arial"/>
          <w:color w:val="FF0000"/>
          <w:lang w:val="es-MX"/>
        </w:rPr>
        <w:t>retrorreflectante</w:t>
      </w:r>
      <w:proofErr w:type="spellEnd"/>
      <w:r w:rsidRPr="004509CA">
        <w:rPr>
          <w:rFonts w:cs="Arial"/>
          <w:color w:val="FF0000"/>
          <w:lang w:val="es-MX"/>
        </w:rPr>
        <w:t>.] [Sistema de borde de detección.] [Sistema de borde de detección óptico.] [Borde de detección neumático.]</w:t>
      </w:r>
    </w:p>
    <w:p w14:paraId="326201A0" w14:textId="77777777" w:rsidR="009D1FA9" w:rsidRPr="004509CA" w:rsidRDefault="009D1FA9" w:rsidP="009D1FA9">
      <w:pPr>
        <w:pStyle w:val="SpecPara4"/>
        <w:numPr>
          <w:ilvl w:val="0"/>
          <w:numId w:val="0"/>
        </w:numPr>
        <w:rPr>
          <w:rFonts w:cs="Arial"/>
          <w:color w:val="0070C0"/>
        </w:r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A3134" w14:textId="77777777" w:rsidR="00FA51BF" w:rsidRDefault="00FA51BF">
      <w:r>
        <w:separator/>
      </w:r>
    </w:p>
  </w:endnote>
  <w:endnote w:type="continuationSeparator" w:id="0">
    <w:p w14:paraId="412C1873" w14:textId="77777777" w:rsidR="00FA51BF" w:rsidRDefault="00FA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F7B98" w14:textId="77777777" w:rsidR="00FA51BF" w:rsidRDefault="00FA51BF">
      <w:r>
        <w:separator/>
      </w:r>
    </w:p>
  </w:footnote>
  <w:footnote w:type="continuationSeparator" w:id="0">
    <w:p w14:paraId="025E8175" w14:textId="77777777" w:rsidR="00FA51BF" w:rsidRDefault="00FA5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grammar="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C70DF"/>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66E46"/>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2478C"/>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51097"/>
    <w:rsid w:val="00D653DA"/>
    <w:rsid w:val="00D65AB6"/>
    <w:rsid w:val="00D73D67"/>
    <w:rsid w:val="00D8775A"/>
    <w:rsid w:val="00DC6B95"/>
    <w:rsid w:val="00DD5366"/>
    <w:rsid w:val="00DE3C5C"/>
    <w:rsid w:val="00DF6554"/>
    <w:rsid w:val="00DF7A9D"/>
    <w:rsid w:val="00E02523"/>
    <w:rsid w:val="00E20A59"/>
    <w:rsid w:val="00E27BDC"/>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5E8E"/>
    <w:rsid w:val="00FA51BF"/>
    <w:rsid w:val="00FA7114"/>
    <w:rsid w:val="00FB1FFA"/>
    <w:rsid w:val="00FC10BD"/>
    <w:rsid w:val="00FC68C6"/>
    <w:rsid w:val="00FD3781"/>
    <w:rsid w:val="00FD47A4"/>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7A4"/>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FD47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47A4"/>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2021-07-06T13:55:00Z</dcterms:created>
  <dcterms:modified xsi:type="dcterms:W3CDTF">2021-07-06T13:57:00Z</dcterms:modified>
</cp:coreProperties>
</file>