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11" w:rsidRPr="008937E2" w:rsidRDefault="006E4E11" w:rsidP="00B2252D">
      <w:pPr>
        <w:pStyle w:val="ARCATTitleOfSection"/>
        <w:spacing w:after="0" w:line="240" w:lineRule="auto"/>
        <w:outlineLvl w:val="0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  <w:r w:rsidRPr="008937E2">
        <w:rPr>
          <w:rFonts w:ascii="Arial" w:hAnsi="Arial" w:cs="Arial"/>
          <w:sz w:val="20"/>
          <w:szCs w:val="20"/>
          <w:lang w:val="es-ES"/>
        </w:rPr>
        <w:t>SECCIÓN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13700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TitleOfSection"/>
        <w:spacing w:after="0" w:line="240" w:lineRule="auto"/>
        <w:outlineLvl w:val="0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CONTROLES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</w:t>
      </w:r>
    </w:p>
    <w:p w:rsidR="006E4E11" w:rsidRPr="008937E2" w:rsidRDefault="006E4E11" w:rsidP="00B2252D">
      <w:pPr>
        <w:pStyle w:val="ARCATTitleOfSection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noProof/>
          <w:sz w:val="20"/>
          <w:szCs w:val="20"/>
          <w:lang w:val="es-ES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141605</wp:posOffset>
            </wp:positionV>
            <wp:extent cx="2152650" cy="257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E11" w:rsidRPr="008937E2" w:rsidRDefault="006E4E11" w:rsidP="00B2252D">
      <w:pPr>
        <w:pStyle w:val="ARCATTitleOfSection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tabs>
          <w:tab w:val="center" w:pos="4320"/>
        </w:tabs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Mostrar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ocultas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ingresando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“Herramientas”/”Opciones”/“Mostrar”/“Texto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oculto”.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LiftMaster;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830CDE"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830CDE"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830CDE" w:rsidRPr="008937E2">
        <w:rPr>
          <w:rFonts w:ascii="Arial" w:hAnsi="Arial" w:cs="Arial"/>
          <w:sz w:val="20"/>
          <w:szCs w:val="20"/>
          <w:lang w:val="es-ES"/>
        </w:rPr>
        <w:t>entrada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830CDE" w:rsidRPr="008937E2">
        <w:rPr>
          <w:rFonts w:ascii="Arial" w:hAnsi="Arial" w:cs="Arial"/>
          <w:sz w:val="20"/>
          <w:szCs w:val="20"/>
          <w:lang w:val="es-ES"/>
        </w:rPr>
        <w:t>telefónica</w:t>
      </w:r>
      <w:r w:rsidRPr="008937E2">
        <w:rPr>
          <w:rFonts w:ascii="Arial" w:hAnsi="Arial" w:cs="Arial"/>
          <w:sz w:val="20"/>
          <w:szCs w:val="20"/>
          <w:lang w:val="es-ES"/>
        </w:rPr>
        <w:t>.</w:t>
      </w: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.</w:t>
      </w: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Esta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sección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basa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productos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The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LiftMaster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Group,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Inc.,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ubica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en:</w:t>
      </w:r>
    </w:p>
    <w:p w:rsidR="00DC6558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ab/>
      </w:r>
      <w:r w:rsidR="00DC6558" w:rsidRPr="008937E2">
        <w:rPr>
          <w:rFonts w:ascii="Arial" w:hAnsi="Arial" w:cs="Arial"/>
          <w:sz w:val="20"/>
          <w:szCs w:val="20"/>
          <w:lang w:val="es-ES"/>
        </w:rPr>
        <w:t>300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DC6558" w:rsidRPr="008937E2">
        <w:rPr>
          <w:rFonts w:ascii="Arial" w:hAnsi="Arial" w:cs="Arial"/>
          <w:sz w:val="20"/>
          <w:szCs w:val="20"/>
          <w:lang w:val="es-ES"/>
        </w:rPr>
        <w:t>Windsor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DC6558" w:rsidRPr="008937E2">
        <w:rPr>
          <w:rFonts w:ascii="Arial" w:hAnsi="Arial" w:cs="Arial"/>
          <w:sz w:val="20"/>
          <w:szCs w:val="20"/>
          <w:lang w:val="es-ES"/>
        </w:rPr>
        <w:t>Drive</w:t>
      </w:r>
    </w:p>
    <w:p w:rsidR="006E4E11" w:rsidRPr="008937E2" w:rsidRDefault="00DC6558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ab/>
        <w:t>Oak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830CDE" w:rsidRPr="008937E2">
        <w:rPr>
          <w:rFonts w:ascii="Arial" w:hAnsi="Arial" w:cs="Arial"/>
          <w:sz w:val="20"/>
          <w:szCs w:val="20"/>
          <w:lang w:val="es-ES"/>
        </w:rPr>
        <w:t>B</w:t>
      </w:r>
      <w:r w:rsidRPr="008937E2">
        <w:rPr>
          <w:rFonts w:ascii="Arial" w:hAnsi="Arial" w:cs="Arial"/>
          <w:sz w:val="20"/>
          <w:szCs w:val="20"/>
          <w:lang w:val="es-ES"/>
        </w:rPr>
        <w:t>rook,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60523</w:t>
      </w: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ab/>
        <w:t>Tel.: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800.282.6225</w:t>
      </w: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ab/>
        <w:t>E-mail: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specs@LiftMaster.com</w:t>
      </w: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ab/>
        <w:t>Página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web: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LiftMaster.com</w:t>
      </w: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ab/>
      </w:r>
      <w:hyperlink r:id="rId8" w:history="1">
        <w:r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>{haga</w:t>
        </w:r>
        <w:r w:rsidR="00CC1880"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 xml:space="preserve"> </w:t>
        </w:r>
        <w:r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>clic</w:t>
        </w:r>
        <w:r w:rsidR="00CC1880"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 xml:space="preserve"> </w:t>
        </w:r>
        <w:r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>aquí}</w:t>
        </w:r>
        <w:r w:rsidR="00CC1880"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 xml:space="preserve"> </w:t>
        </w:r>
        <w:r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>para</w:t>
        </w:r>
        <w:r w:rsidR="00CC1880"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 xml:space="preserve"> </w:t>
        </w:r>
        <w:r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>obtener</w:t>
        </w:r>
        <w:r w:rsidR="00CC1880"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 xml:space="preserve"> </w:t>
        </w:r>
        <w:r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>información</w:t>
        </w:r>
        <w:r w:rsidR="00CC1880"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 xml:space="preserve"> </w:t>
        </w:r>
        <w:r w:rsidRPr="008937E2">
          <w:rPr>
            <w:rStyle w:val="Hipervnculo"/>
            <w:rFonts w:ascii="Arial" w:hAnsi="Arial" w:cs="Arial"/>
            <w:sz w:val="20"/>
            <w:szCs w:val="20"/>
            <w:lang w:val="es-ES"/>
          </w:rPr>
          <w:t>adicional.</w:t>
        </w:r>
      </w:hyperlink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spacing w:after="0" w:line="240" w:lineRule="auto"/>
        <w:rPr>
          <w:rFonts w:ascii="Arial" w:hAnsi="Arial" w:cs="Arial"/>
          <w:vanish/>
          <w:color w:val="FF00FF"/>
          <w:sz w:val="20"/>
          <w:szCs w:val="20"/>
          <w:lang w:val="es-ES"/>
        </w:rPr>
      </w:pP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completa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línea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comercial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residencial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productos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operadores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puertas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garajes/operadores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portones/sistemas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acceso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LiftMaster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cumple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necesidades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arquitectos,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diseñadores,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ingenieros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especificadores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cualquier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diseño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o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plan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conceptual,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tiempo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ofrece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total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cumplimiento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normas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seguridad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construcción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UL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325-2010.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Toda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nuestra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línea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productos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también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contribuye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obtener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créditos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eficiencia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energética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por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certificación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LEED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construcción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ecológica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Consejo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Construcción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Ecológica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Estados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Unidos.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LiftMaster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un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miembro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registrado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Instituto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Estadounidense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Arquitectos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cuenta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autorización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necesaria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presentar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Unidades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Educación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Continuada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(CEU)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dicho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instituto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sus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instalaciones.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consultar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objetivos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aprendizaje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programar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almuerzos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capacitaciones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su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empresa,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envíe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una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solicitud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hyperlink r:id="rId9" w:history="1">
        <w:r w:rsidRPr="008937E2">
          <w:rPr>
            <w:rStyle w:val="Hipervnculo"/>
            <w:rFonts w:ascii="Arial" w:hAnsi="Arial" w:cs="Arial"/>
            <w:vanish/>
            <w:color w:val="FF00FF"/>
            <w:sz w:val="20"/>
            <w:szCs w:val="20"/>
            <w:lang w:val="es-ES"/>
          </w:rPr>
          <w:t>specs@LiftMaster.com</w:t>
        </w:r>
      </w:hyperlink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.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Obtenga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una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completa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biblioteca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especificaciones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arquitectónicas,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planos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taller,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especificaciones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3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partes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CSI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reproducciones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productos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CAD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BIM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vanish/>
          <w:color w:val="FF00FF"/>
          <w:sz w:val="20"/>
          <w:szCs w:val="20"/>
          <w:lang w:val="es-ES"/>
        </w:rPr>
        <w:t>LiftMaster.com.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t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ASPECTOS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GENERALES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SECCIÓN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INCLUYE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DC6558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acceso: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Lector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tarjeta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proximidad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autónomo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Passport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(Modelo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PPLX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LiftMaster).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SECCIONES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RELACIONADAS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Elimine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secciones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siguientes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relevantes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proyecto;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agregue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otras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según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requiera.</w:t>
      </w: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Sección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03300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–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Concreto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moldeado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sitio: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Soportes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montaje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concreto.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Sección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16050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–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Métodos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materiales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eléctricos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básicos.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Sección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16720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–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entrada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telefónica.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División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16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–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Requisitos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conexiones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eléctricas.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REFERENCIAS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Elimine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referencias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lista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anterior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requieran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texto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sección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editada.</w:t>
      </w:r>
    </w:p>
    <w:p w:rsidR="00DC6558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Underwriters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Laboratories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(UL):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UL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325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–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Estándar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seguridad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operadores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ventanas,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persianas,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portones,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cortinas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puertas.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UL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991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–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Estándar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pruebas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relacionados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seguridad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emplean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dispositivos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sólido.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NFPA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70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–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Código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Eléctrico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Nacional.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Regulaciones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FCC.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Departamento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Canadiense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Comunicaciones.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PRESENTACIONES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numPr>
          <w:ilvl w:val="2"/>
          <w:numId w:val="5"/>
        </w:numPr>
        <w:tabs>
          <w:tab w:val="clear" w:pos="1152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Realizar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presentación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bajo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disposiciones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Sección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01300.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Aplicable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entrada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telefónica.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Elimine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necesario.</w:t>
      </w:r>
    </w:p>
    <w:p w:rsidR="006E4E11" w:rsidRPr="008937E2" w:rsidRDefault="006E4E11" w:rsidP="00B2252D">
      <w:pPr>
        <w:pStyle w:val="ARCATParagraph"/>
        <w:numPr>
          <w:ilvl w:val="2"/>
          <w:numId w:val="5"/>
        </w:numPr>
        <w:tabs>
          <w:tab w:val="clear" w:pos="1152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Presentaciones:</w:t>
      </w:r>
    </w:p>
    <w:p w:rsidR="006E4E11" w:rsidRPr="008937E2" w:rsidRDefault="006E4E11" w:rsidP="00B2252D">
      <w:pPr>
        <w:pStyle w:val="ARCATSubPara"/>
        <w:numPr>
          <w:ilvl w:val="3"/>
          <w:numId w:val="5"/>
        </w:numPr>
        <w:tabs>
          <w:tab w:val="clear" w:pos="1728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Fecha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fabricante: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Presentar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copias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siguiente:</w:t>
      </w:r>
    </w:p>
    <w:p w:rsidR="006E4E11" w:rsidRPr="008937E2" w:rsidRDefault="006E4E11" w:rsidP="00B2252D">
      <w:pPr>
        <w:pStyle w:val="ARCATSubSub1"/>
        <w:numPr>
          <w:ilvl w:val="4"/>
          <w:numId w:val="5"/>
        </w:numPr>
        <w:tabs>
          <w:tab w:val="clear" w:pos="2304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Hojas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datos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producto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descripción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sistema.</w:t>
      </w:r>
    </w:p>
    <w:p w:rsidR="006E4E11" w:rsidRPr="008937E2" w:rsidRDefault="006E4E11" w:rsidP="00B2252D">
      <w:pPr>
        <w:pStyle w:val="ARCATSubSub1"/>
        <w:numPr>
          <w:ilvl w:val="4"/>
          <w:numId w:val="5"/>
        </w:numPr>
        <w:tabs>
          <w:tab w:val="clear" w:pos="2304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Instrucciones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instalación.</w:t>
      </w:r>
    </w:p>
    <w:p w:rsidR="006E4E11" w:rsidRPr="008937E2" w:rsidRDefault="006E4E11" w:rsidP="00B2252D">
      <w:pPr>
        <w:pStyle w:val="ARCATSubSub1"/>
        <w:numPr>
          <w:ilvl w:val="4"/>
          <w:numId w:val="5"/>
        </w:numPr>
        <w:tabs>
          <w:tab w:val="clear" w:pos="2304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Certificado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distribuidor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autorizado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comprobante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capacitación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certificado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instaladores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trabajarán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proyecto.</w:t>
      </w: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Aplicable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Elimine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necesario.</w:t>
      </w:r>
    </w:p>
    <w:p w:rsidR="006E4E11" w:rsidRPr="008937E2" w:rsidRDefault="006E4E11" w:rsidP="00B2252D">
      <w:pPr>
        <w:pStyle w:val="ARCATSubSub1"/>
        <w:numPr>
          <w:ilvl w:val="4"/>
          <w:numId w:val="5"/>
        </w:numPr>
        <w:tabs>
          <w:tab w:val="clear" w:pos="2304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Diagramas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bloque.</w:t>
      </w:r>
    </w:p>
    <w:p w:rsidR="006E4E11" w:rsidRPr="008937E2" w:rsidRDefault="006E4E11" w:rsidP="00B2252D">
      <w:pPr>
        <w:pStyle w:val="ARCATSubSub1"/>
        <w:numPr>
          <w:ilvl w:val="4"/>
          <w:numId w:val="5"/>
        </w:numPr>
        <w:tabs>
          <w:tab w:val="clear" w:pos="2304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Lista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equipos.</w:t>
      </w:r>
    </w:p>
    <w:p w:rsidR="006E4E11" w:rsidRPr="008937E2" w:rsidRDefault="006E4E11" w:rsidP="00B2252D">
      <w:pPr>
        <w:pStyle w:val="ARCATSubPara"/>
        <w:numPr>
          <w:ilvl w:val="3"/>
          <w:numId w:val="5"/>
        </w:numPr>
        <w:tabs>
          <w:tab w:val="clear" w:pos="1728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Planos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taller: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Presentar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siguiente:</w:t>
      </w:r>
    </w:p>
    <w:p w:rsidR="006E4E11" w:rsidRPr="008937E2" w:rsidRDefault="006E4E11" w:rsidP="00B2252D">
      <w:pPr>
        <w:pStyle w:val="ARCATSubSub1"/>
        <w:numPr>
          <w:ilvl w:val="4"/>
          <w:numId w:val="5"/>
        </w:numPr>
        <w:tabs>
          <w:tab w:val="clear" w:pos="2304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Plano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ubicaciones,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incluidos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requisitos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tamaños.</w:t>
      </w:r>
    </w:p>
    <w:p w:rsidR="006E4E11" w:rsidRPr="008937E2" w:rsidRDefault="006E4E11" w:rsidP="00B2252D">
      <w:pPr>
        <w:pStyle w:val="ARCATSubSub1"/>
        <w:numPr>
          <w:ilvl w:val="4"/>
          <w:numId w:val="5"/>
        </w:numPr>
        <w:tabs>
          <w:tab w:val="clear" w:pos="2304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Diagramas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cableado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detallados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equipo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acceso.</w:t>
      </w:r>
    </w:p>
    <w:p w:rsidR="006E4E11" w:rsidRPr="008937E2" w:rsidRDefault="006E4E11" w:rsidP="00B2252D">
      <w:pPr>
        <w:pStyle w:val="ARCATSubSub1"/>
        <w:numPr>
          <w:ilvl w:val="4"/>
          <w:numId w:val="5"/>
        </w:numPr>
        <w:tabs>
          <w:tab w:val="clear" w:pos="2304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Cálculo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carga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todos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equipos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tamaño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adecuado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eléctrico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circuitos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generadores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emergencia.</w:t>
      </w: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Elimine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párrafo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siguiente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requiere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propietario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edificio.</w:t>
      </w:r>
    </w:p>
    <w:p w:rsidR="006E4E11" w:rsidRPr="008937E2" w:rsidRDefault="006E4E11" w:rsidP="00B2252D">
      <w:pPr>
        <w:pStyle w:val="ARCATSubPara"/>
        <w:numPr>
          <w:ilvl w:val="3"/>
          <w:numId w:val="5"/>
        </w:numPr>
        <w:tabs>
          <w:tab w:val="clear" w:pos="1728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Planos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conforme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obra: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Actualizar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planos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taller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crear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planos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conforme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obra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finales.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Presentar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3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copias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3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copias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digitales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AutoCAD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14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formato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más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reciente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CD.</w:t>
      </w:r>
    </w:p>
    <w:p w:rsidR="006E4E11" w:rsidRPr="008937E2" w:rsidRDefault="006E4E11" w:rsidP="00B2252D">
      <w:pPr>
        <w:pStyle w:val="ARCATSubPara"/>
        <w:numPr>
          <w:ilvl w:val="3"/>
          <w:numId w:val="5"/>
        </w:numPr>
        <w:tabs>
          <w:tab w:val="clear" w:pos="1728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Datos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operación: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Incluir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3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copias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administrador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software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manuales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operador.</w:t>
      </w:r>
    </w:p>
    <w:p w:rsidR="006E4E11" w:rsidRPr="008937E2" w:rsidRDefault="006E4E11" w:rsidP="00B2252D">
      <w:pPr>
        <w:pStyle w:val="ARCATSubPara"/>
        <w:numPr>
          <w:ilvl w:val="3"/>
          <w:numId w:val="5"/>
        </w:numPr>
        <w:tabs>
          <w:tab w:val="clear" w:pos="1728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Datos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mantenimiento: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Incluir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procedimientos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mantenimiento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reparación.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ENTREGA,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ALMACENAMIENTO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MANEJO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numPr>
          <w:ilvl w:val="2"/>
          <w:numId w:val="5"/>
        </w:numPr>
        <w:tabs>
          <w:tab w:val="clear" w:pos="1152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Almacenar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productos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embalaje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abrir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fabricante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etiquetas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intactas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hasta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momento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instalación.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numPr>
          <w:ilvl w:val="2"/>
          <w:numId w:val="5"/>
        </w:numPr>
        <w:tabs>
          <w:tab w:val="clear" w:pos="1152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Programar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entrega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equipo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estacionamiento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manera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haya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suficiente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espacio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instalar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operadores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momento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entrega.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Aplicable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Elimine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necesario.</w:t>
      </w:r>
    </w:p>
    <w:p w:rsidR="006E4E11" w:rsidRPr="008937E2" w:rsidRDefault="006E4E11" w:rsidP="00B2252D">
      <w:pPr>
        <w:pStyle w:val="ARCATParagraph"/>
        <w:numPr>
          <w:ilvl w:val="2"/>
          <w:numId w:val="5"/>
        </w:numPr>
        <w:tabs>
          <w:tab w:val="clear" w:pos="1152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propietario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suministrará,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sitio,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área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almacenamiento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cerrada,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seca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segura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todos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equipos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entreguen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bajo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alcance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trabajo.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GARANTÍA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CALIDAD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Aplicable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entrada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telefónica.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Elimine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necesario.</w:t>
      </w:r>
    </w:p>
    <w:p w:rsidR="006E4E11" w:rsidRPr="008937E2" w:rsidRDefault="006E4E11" w:rsidP="00B2252D">
      <w:pPr>
        <w:pStyle w:val="ARCATParagraph"/>
        <w:numPr>
          <w:ilvl w:val="2"/>
          <w:numId w:val="5"/>
        </w:numPr>
        <w:tabs>
          <w:tab w:val="clear" w:pos="1152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Garantía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calidad:</w:t>
      </w:r>
    </w:p>
    <w:p w:rsidR="006E4E11" w:rsidRPr="008937E2" w:rsidRDefault="006E4E11" w:rsidP="00B2252D">
      <w:pPr>
        <w:pStyle w:val="ARCATSubPara"/>
        <w:numPr>
          <w:ilvl w:val="3"/>
          <w:numId w:val="5"/>
        </w:numPr>
        <w:tabs>
          <w:tab w:val="clear" w:pos="1728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Fabricante: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será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fabricante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única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fuente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especializa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entrada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telefónica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mínimo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5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años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experiencia.</w:t>
      </w:r>
    </w:p>
    <w:p w:rsidR="006E4E11" w:rsidRPr="008937E2" w:rsidRDefault="006E4E11" w:rsidP="00B2252D">
      <w:pPr>
        <w:pStyle w:val="ARCATSubPara"/>
        <w:numPr>
          <w:ilvl w:val="3"/>
          <w:numId w:val="5"/>
        </w:numPr>
        <w:tabs>
          <w:tab w:val="clear" w:pos="1728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Instalador: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compañía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especializa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mínimo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3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años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experiencia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tamaño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alcance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similar.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técnicos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trabajen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proyecto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deben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certificados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hardware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software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usados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proyecto.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CONDICIONES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PROYECTO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Mantener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condiciones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ambientales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(temperatura,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humedad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ventilación)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dentro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límites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recomendados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fabricante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lograr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resultados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óptimos.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instalar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productos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bajo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condiciones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ambientales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estén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dentro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límites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absolutos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establecidos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fabricante.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GARANTÍA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Garantía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estándar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fabricante:</w:t>
      </w:r>
    </w:p>
    <w:p w:rsidR="00DC6558" w:rsidRPr="008937E2" w:rsidRDefault="00DC6558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Elimine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párrafos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garantías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requieren.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Garantía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Garantía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limitada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1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año.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t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PRODUCTOS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FABRICANTES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Fabricante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aceptable: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LiftMaster;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B31288" w:rsidRPr="008937E2">
        <w:rPr>
          <w:rFonts w:ascii="Arial" w:hAnsi="Arial" w:cs="Arial"/>
          <w:sz w:val="20"/>
          <w:szCs w:val="20"/>
          <w:lang w:val="es-ES"/>
        </w:rPr>
        <w:t>300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B31288" w:rsidRPr="008937E2">
        <w:rPr>
          <w:rFonts w:ascii="Arial" w:hAnsi="Arial" w:cs="Arial"/>
          <w:sz w:val="20"/>
          <w:szCs w:val="20"/>
          <w:lang w:val="es-ES"/>
        </w:rPr>
        <w:t>Windsor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B31288" w:rsidRPr="008937E2">
        <w:rPr>
          <w:rFonts w:ascii="Arial" w:hAnsi="Arial" w:cs="Arial"/>
          <w:sz w:val="20"/>
          <w:szCs w:val="20"/>
          <w:lang w:val="es-ES"/>
        </w:rPr>
        <w:t>Drive,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B31288" w:rsidRPr="008937E2">
        <w:rPr>
          <w:rFonts w:ascii="Arial" w:hAnsi="Arial" w:cs="Arial"/>
          <w:sz w:val="20"/>
          <w:szCs w:val="20"/>
          <w:lang w:val="es-ES"/>
        </w:rPr>
        <w:t>Oak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830CDE" w:rsidRPr="008937E2">
        <w:rPr>
          <w:rFonts w:ascii="Arial" w:hAnsi="Arial" w:cs="Arial"/>
          <w:sz w:val="20"/>
          <w:szCs w:val="20"/>
          <w:lang w:val="es-ES"/>
        </w:rPr>
        <w:t>B</w:t>
      </w:r>
      <w:r w:rsidR="00B31288" w:rsidRPr="008937E2">
        <w:rPr>
          <w:rFonts w:ascii="Arial" w:hAnsi="Arial" w:cs="Arial"/>
          <w:sz w:val="20"/>
          <w:szCs w:val="20"/>
          <w:lang w:val="es-ES"/>
        </w:rPr>
        <w:t>rook,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B31288" w:rsidRPr="008937E2">
        <w:rPr>
          <w:rFonts w:ascii="Arial" w:hAnsi="Arial" w:cs="Arial"/>
          <w:sz w:val="20"/>
          <w:szCs w:val="20"/>
          <w:lang w:val="es-ES"/>
        </w:rPr>
        <w:t>IL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="00B31288" w:rsidRPr="008937E2">
        <w:rPr>
          <w:rFonts w:ascii="Arial" w:hAnsi="Arial" w:cs="Arial"/>
          <w:sz w:val="20"/>
          <w:szCs w:val="20"/>
          <w:lang w:val="es-ES"/>
        </w:rPr>
        <w:t>60523</w:t>
      </w:r>
      <w:r w:rsidRPr="008937E2">
        <w:rPr>
          <w:rFonts w:ascii="Arial" w:hAnsi="Arial" w:cs="Arial"/>
          <w:sz w:val="20"/>
          <w:szCs w:val="20"/>
          <w:lang w:val="es-ES"/>
        </w:rPr>
        <w:t>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Número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gratuito: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800.282.6225;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E-mail: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specs@LiftMaster.com;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Página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web: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LiftMaster.com.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Elimine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párrafos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siguientes;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coordinar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requisitos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sección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División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1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opciones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sustituciones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producto.</w:t>
      </w: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Sustituciones: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permitidas.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solicitudes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sustituciones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serán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consideradas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conformidad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disposiciones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Sección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01600.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</w:t>
      </w: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Dispositivo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proximidad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autónomo: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Lector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tarjeta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proximidad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autónomo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PPLX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LiftMaster.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Dimensiones: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Superficie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montaje,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4-1/2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pulgadas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x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3-1/5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pulgadas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ancho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(115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mm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x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82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mm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A).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Alimentación: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5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14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VCC,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50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inactivo,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150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máximo.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Gabinete: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Montaje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superficie,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placa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frontal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plástico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resistente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vandálicos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caja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tomacorriente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impermeable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salida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única.</w:t>
      </w:r>
    </w:p>
    <w:p w:rsidR="00DC6558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Temperatura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ambiente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servicio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tarjetas: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Temp.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ambiente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Desde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-40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grados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(-40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grados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C)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hasta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158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grados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(70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grados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C).</w:t>
      </w:r>
    </w:p>
    <w:p w:rsidR="00DC6558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Humedad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servicio: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95%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condensación.</w:t>
      </w: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Componentes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Juegos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disponibles.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Elimine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componentes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requieren.</w:t>
      </w:r>
    </w:p>
    <w:p w:rsidR="00DC6558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Componentes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sistema:</w:t>
      </w:r>
    </w:p>
    <w:p w:rsidR="006E4E11" w:rsidRPr="008937E2" w:rsidRDefault="006E4E11" w:rsidP="00B2252D">
      <w:pPr>
        <w:pStyle w:val="ARCATSubSub1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Lector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proximidad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autónomo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(Modelo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PPLX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LiftMaster).</w:t>
      </w:r>
    </w:p>
    <w:p w:rsidR="006E4E11" w:rsidRPr="008937E2" w:rsidRDefault="006E4E11" w:rsidP="00B2252D">
      <w:pPr>
        <w:pStyle w:val="ARCATSubSub1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Programador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radio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proximidad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(Modelo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PPRP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LiftMaster).</w:t>
      </w:r>
    </w:p>
    <w:p w:rsidR="001F2A42" w:rsidRPr="008937E2" w:rsidRDefault="006E4E11" w:rsidP="00B2252D">
      <w:pPr>
        <w:pStyle w:val="ARCATSubSub1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Alimentación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eléctrica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12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VCC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2.0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(Modelo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PS12D2A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LiftMaster).</w:t>
      </w:r>
    </w:p>
    <w:p w:rsidR="001F2A42" w:rsidRPr="008937E2" w:rsidRDefault="001F2A42" w:rsidP="001F2A42">
      <w:pPr>
        <w:pStyle w:val="ARCATSubSub1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Tarjeta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proximidad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llavero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HID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estándar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26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bits</w:t>
      </w:r>
    </w:p>
    <w:p w:rsidR="001F2A42" w:rsidRPr="008937E2" w:rsidRDefault="006E4E11" w:rsidP="001F2A42">
      <w:pPr>
        <w:pStyle w:val="ARCATSubSub1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Tarjeta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proximidad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Passport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34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bits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(estuche)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envía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50)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(Modelo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PPCSC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LiftMaster).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Funciones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estándar:</w:t>
      </w:r>
    </w:p>
    <w:p w:rsidR="006E4E11" w:rsidRPr="008937E2" w:rsidRDefault="006E4E11" w:rsidP="00B2252D">
      <w:pPr>
        <w:pStyle w:val="ARCATSubSub1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Rango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lector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tarjetas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6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pulgadas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(152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mm).</w:t>
      </w:r>
    </w:p>
    <w:p w:rsidR="006E4E11" w:rsidRPr="008937E2" w:rsidRDefault="006E4E11" w:rsidP="00B2252D">
      <w:pPr>
        <w:pStyle w:val="ARCATSubSub1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Capacidad: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50,000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usuarios.</w:t>
      </w:r>
    </w:p>
    <w:p w:rsidR="006E4E11" w:rsidRPr="008937E2" w:rsidRDefault="006E4E11" w:rsidP="00B2252D">
      <w:pPr>
        <w:pStyle w:val="ARCATSubSub1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Relé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salida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programable: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(NO/NC).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Relé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sólido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SPST,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1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máx.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60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VCA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CC.</w:t>
      </w:r>
    </w:p>
    <w:p w:rsidR="006E4E11" w:rsidRPr="008937E2" w:rsidRDefault="006E4E11" w:rsidP="00B2252D">
      <w:pPr>
        <w:pStyle w:val="ARCATSubSub1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“Modo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bloqueo”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mantener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puerta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portón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abiertos.</w:t>
      </w:r>
    </w:p>
    <w:p w:rsidR="006E4E11" w:rsidRPr="008937E2" w:rsidRDefault="006E4E11" w:rsidP="00B2252D">
      <w:pPr>
        <w:pStyle w:val="ARCATSubSub1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Lógica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“anti-passback”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temporizador.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0F7D3B" w:rsidRPr="008937E2" w:rsidRDefault="000F7D3B" w:rsidP="000F7D3B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Elimine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necesario.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t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EJECUCIÓN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EXAMEN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PREPARACIÓN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Preparar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superficies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usando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métodos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recomendados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fabricante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lograr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mejor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resultado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sustrato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bajo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condiciones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proyecto.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preparación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responsabilidad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otro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instalador,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notificar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arquitecto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escrito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acerca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desviaciones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condiciones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tolerancias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instalación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recomendadas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fabricante.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proceder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instalación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hasta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hayan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preparado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adecuadamente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sustratos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hayan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corregido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desviaciones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tolerancias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recomendadas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fabricante.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inicio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instalación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constituye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aceptación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condiciones.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Limpiar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bien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superficies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antes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instalación.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Preparar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superficies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usando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métodos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recomendados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fabricante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lograr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mejor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resultado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sustrato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bajo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condiciones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proyecto.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INSTALACIÓN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Instalar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conformidad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instrucciones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fabricante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incluyen,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entre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otras,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siguientes: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Montar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directamente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plataforma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concreto,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asegurado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firmemente,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plomo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nivel.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Montaje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pedestal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montaje;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brindar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placa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base.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Conectar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conformidad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Código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Eléctrico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Nacional.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Encerrar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todos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empalmes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cajas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conexiones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tableros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terminales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fácil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acceso.</w:t>
      </w:r>
    </w:p>
    <w:p w:rsidR="006E4E11" w:rsidRPr="008937E2" w:rsidRDefault="006E4E11" w:rsidP="00B2252D">
      <w:pPr>
        <w:pStyle w:val="ARCATSubPara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Etiquetar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identificar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todos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cables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todas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cajas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conexiones.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Probar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ajustar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garantizar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que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componentes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accesorios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están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bien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conectados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buenas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condiciones.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Not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**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Aplicable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sistemas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control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acceso.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Elimine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si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necesario.</w:t>
      </w: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cableado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debe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instalar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conformidad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códigos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eléctricos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nacionales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instrucciones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fabricante.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Realizar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conexiones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conductos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cableados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dispositivos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hardware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puerta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y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portón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existentes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según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requiera.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PROTECCIÓN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Proteger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productos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instalados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hasta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finalización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proyecto.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Retocar,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reparar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reemplazar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productos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dañados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antes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completar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parte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sustancial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obra.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Article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MANTENIMIENTO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Paragraph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>Realizar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mantenimiento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intervalos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3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meses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durante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el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período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mantenimiento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especificado,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revisar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dispositivos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retroceso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externos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una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vez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por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mes.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E4E11" w:rsidRPr="008937E2" w:rsidRDefault="006E4E11" w:rsidP="00B2252D">
      <w:pPr>
        <w:pStyle w:val="ARCATEndOfSection"/>
        <w:spacing w:after="0" w:line="240" w:lineRule="auto"/>
        <w:outlineLvl w:val="0"/>
        <w:rPr>
          <w:rFonts w:ascii="Arial" w:hAnsi="Arial" w:cs="Arial"/>
          <w:sz w:val="20"/>
          <w:szCs w:val="20"/>
          <w:lang w:val="es-ES"/>
        </w:rPr>
      </w:pPr>
      <w:r w:rsidRPr="008937E2">
        <w:rPr>
          <w:rFonts w:ascii="Arial" w:hAnsi="Arial" w:cs="Arial"/>
          <w:sz w:val="20"/>
          <w:szCs w:val="20"/>
          <w:lang w:val="es-ES"/>
        </w:rPr>
        <w:tab/>
        <w:t>FIN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DE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LA</w:t>
      </w:r>
      <w:r w:rsidR="00CC1880" w:rsidRPr="008937E2">
        <w:rPr>
          <w:rFonts w:ascii="Arial" w:hAnsi="Arial" w:cs="Arial"/>
          <w:sz w:val="20"/>
          <w:szCs w:val="20"/>
          <w:lang w:val="es-ES"/>
        </w:rPr>
        <w:t xml:space="preserve"> </w:t>
      </w:r>
      <w:r w:rsidRPr="008937E2">
        <w:rPr>
          <w:rFonts w:ascii="Arial" w:hAnsi="Arial" w:cs="Arial"/>
          <w:sz w:val="20"/>
          <w:szCs w:val="20"/>
          <w:lang w:val="es-ES"/>
        </w:rPr>
        <w:t>SECCIÓN</w:t>
      </w:r>
    </w:p>
    <w:p w:rsidR="006E4E11" w:rsidRPr="008937E2" w:rsidRDefault="006E4E11" w:rsidP="00B2252D">
      <w:pPr>
        <w:pStyle w:val="ARCATBlank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6E4E11" w:rsidRPr="008937E2" w:rsidSect="00EA3141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A5" w:rsidRPr="00D11971" w:rsidRDefault="002645A5">
      <w:pPr>
        <w:rPr>
          <w:lang w:val="es-MX"/>
        </w:rPr>
      </w:pPr>
    </w:p>
  </w:endnote>
  <w:endnote w:type="continuationSeparator" w:id="1">
    <w:p w:rsidR="002645A5" w:rsidRPr="00D11971" w:rsidRDefault="002645A5">
      <w:pPr>
        <w:rPr>
          <w:lang w:val="es-MX"/>
        </w:rPr>
      </w:pPr>
    </w:p>
  </w:endnote>
  <w:endnote w:type="continuationNotice" w:id="2">
    <w:p w:rsidR="002645A5" w:rsidRPr="00D11971" w:rsidRDefault="002645A5">
      <w:pPr>
        <w:rPr>
          <w:lang w:val="es-MX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10" w:rsidRPr="00D11971" w:rsidRDefault="00443310">
    <w:pPr>
      <w:pStyle w:val="Piedepgina"/>
      <w:rPr>
        <w:lang w:val="es-MX"/>
      </w:rPr>
    </w:pPr>
    <w:r w:rsidRPr="00D11971">
      <w:rPr>
        <w:lang w:val="es-MX"/>
      </w:rPr>
      <w:tab/>
      <w:t>13700-</w:t>
    </w:r>
    <w:r w:rsidR="00B7361F" w:rsidRPr="00D11971">
      <w:rPr>
        <w:lang w:val="es-MX"/>
      </w:rPr>
      <w:fldChar w:fldCharType="begin"/>
    </w:r>
    <w:r w:rsidRPr="00D11971">
      <w:rPr>
        <w:lang w:val="es-MX"/>
      </w:rPr>
      <w:instrText>page \* arabic</w:instrText>
    </w:r>
    <w:r w:rsidR="00B7361F" w:rsidRPr="00D11971">
      <w:rPr>
        <w:lang w:val="es-MX"/>
      </w:rPr>
      <w:fldChar w:fldCharType="separate"/>
    </w:r>
    <w:r w:rsidR="008937E2">
      <w:rPr>
        <w:noProof/>
        <w:lang w:val="es-MX"/>
      </w:rPr>
      <w:t>4</w:t>
    </w:r>
    <w:r w:rsidR="00B7361F" w:rsidRPr="00D11971">
      <w:rPr>
        <w:lang w:val="es-MX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A5" w:rsidRPr="00D11971" w:rsidRDefault="002645A5">
      <w:pPr>
        <w:rPr>
          <w:lang w:val="es-MX"/>
        </w:rPr>
      </w:pPr>
      <w:r w:rsidRPr="00D11971">
        <w:rPr>
          <w:lang w:val="es-MX"/>
        </w:rPr>
        <w:separator/>
      </w:r>
    </w:p>
  </w:footnote>
  <w:footnote w:type="continuationSeparator" w:id="1">
    <w:p w:rsidR="002645A5" w:rsidRPr="00D11971" w:rsidRDefault="002645A5">
      <w:pPr>
        <w:rPr>
          <w:lang w:val="es-MX"/>
        </w:rPr>
      </w:pPr>
      <w:r w:rsidRPr="00D11971">
        <w:rPr>
          <w:lang w:val="es-MX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70E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CA037C6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Ttulo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Ttulo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Ttulo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Ttulo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Ttulo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Ttulo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2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3">
    <w:nsid w:val="244F143B"/>
    <w:multiLevelType w:val="multilevel"/>
    <w:tmpl w:val="D3C27284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4">
    <w:nsid w:val="51864E08"/>
    <w:multiLevelType w:val="multilevel"/>
    <w:tmpl w:val="542470C6"/>
    <w:lvl w:ilvl="0">
      <w:start w:val="1"/>
      <w:numFmt w:val="decimal"/>
      <w:pStyle w:val="ARCATPart"/>
      <w:suff w:val="nothing"/>
      <w:lvlText w:val="PART %1  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linkStyles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  <w:endnote w:id="2"/>
  </w:endnotePr>
  <w:compat/>
  <w:rsids>
    <w:rsidRoot w:val="007F4918"/>
    <w:rsid w:val="00027202"/>
    <w:rsid w:val="00092489"/>
    <w:rsid w:val="000A59C1"/>
    <w:rsid w:val="000A61FD"/>
    <w:rsid w:val="000B4CA0"/>
    <w:rsid w:val="000F7D3B"/>
    <w:rsid w:val="00122B63"/>
    <w:rsid w:val="00171203"/>
    <w:rsid w:val="00195F32"/>
    <w:rsid w:val="001F2A42"/>
    <w:rsid w:val="00231F92"/>
    <w:rsid w:val="002645A5"/>
    <w:rsid w:val="003F00FE"/>
    <w:rsid w:val="00402C70"/>
    <w:rsid w:val="00443299"/>
    <w:rsid w:val="00443310"/>
    <w:rsid w:val="004635B9"/>
    <w:rsid w:val="00475826"/>
    <w:rsid w:val="00566CC9"/>
    <w:rsid w:val="006E4E11"/>
    <w:rsid w:val="00702519"/>
    <w:rsid w:val="007579D8"/>
    <w:rsid w:val="007F3AC8"/>
    <w:rsid w:val="007F4918"/>
    <w:rsid w:val="00830CDE"/>
    <w:rsid w:val="008937E2"/>
    <w:rsid w:val="00895AEB"/>
    <w:rsid w:val="008C1855"/>
    <w:rsid w:val="00912B6F"/>
    <w:rsid w:val="00B1253C"/>
    <w:rsid w:val="00B2252D"/>
    <w:rsid w:val="00B31288"/>
    <w:rsid w:val="00B7361F"/>
    <w:rsid w:val="00B87138"/>
    <w:rsid w:val="00C465F4"/>
    <w:rsid w:val="00C863A2"/>
    <w:rsid w:val="00CC1880"/>
    <w:rsid w:val="00CD2F33"/>
    <w:rsid w:val="00CE3AA4"/>
    <w:rsid w:val="00D11971"/>
    <w:rsid w:val="00DC6558"/>
    <w:rsid w:val="00EA3141"/>
    <w:rsid w:val="00F039E6"/>
    <w:rsid w:val="00F14C07"/>
    <w:rsid w:val="00FF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F4B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E"/>
    </w:rPr>
  </w:style>
  <w:style w:type="paragraph" w:styleId="Ttulo1">
    <w:name w:val="heading 1"/>
    <w:basedOn w:val="Normal"/>
    <w:next w:val="Normal"/>
    <w:qFormat/>
    <w:rsid w:val="00EA3141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EA3141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EA3141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EA3141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EA3141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EA3141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EA3141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EA3141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  <w:rsid w:val="00FF4B28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FF4B28"/>
  </w:style>
  <w:style w:type="paragraph" w:customStyle="1" w:styleId="ARCATTitleOfSection">
    <w:name w:val="ARCAT TitleOfSection"/>
    <w:basedOn w:val="Normal"/>
    <w:next w:val="ARCATBlank"/>
    <w:autoRedefine/>
    <w:rsid w:val="00EA3141"/>
    <w:pPr>
      <w:tabs>
        <w:tab w:val="center" w:pos="4320"/>
      </w:tabs>
      <w:suppressAutoHyphens/>
      <w:jc w:val="center"/>
    </w:pPr>
  </w:style>
  <w:style w:type="paragraph" w:customStyle="1" w:styleId="ARCATBlank">
    <w:name w:val="ARCAT Blank"/>
    <w:basedOn w:val="Normal"/>
    <w:autoRedefine/>
    <w:rsid w:val="00EA3141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cs="Times New Roman"/>
    </w:rPr>
  </w:style>
  <w:style w:type="paragraph" w:customStyle="1" w:styleId="ARCATEndOfSection">
    <w:name w:val="ARCAT EndOfSection"/>
    <w:basedOn w:val="ARCATTitleOfSection"/>
    <w:next w:val="Normal"/>
    <w:autoRedefine/>
    <w:rsid w:val="00EA3141"/>
    <w:pPr>
      <w:jc w:val="left"/>
    </w:pPr>
  </w:style>
  <w:style w:type="paragraph" w:customStyle="1" w:styleId="ARCATPart">
    <w:name w:val="ARCAT Part"/>
    <w:basedOn w:val="ARCATBlank"/>
    <w:next w:val="ARCATBlank"/>
    <w:autoRedefine/>
    <w:rsid w:val="00EA3141"/>
    <w:pPr>
      <w:numPr>
        <w:numId w:val="2"/>
      </w:numPr>
    </w:pPr>
  </w:style>
  <w:style w:type="paragraph" w:customStyle="1" w:styleId="ARCATArticle">
    <w:name w:val="ARCAT Article"/>
    <w:basedOn w:val="ARCATPart"/>
    <w:next w:val="ARCATBlank"/>
    <w:autoRedefine/>
    <w:rsid w:val="00EA3141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next w:val="ARCATBlank"/>
    <w:autoRedefine/>
    <w:rsid w:val="00B1253C"/>
    <w:pPr>
      <w:numPr>
        <w:ilvl w:val="2"/>
      </w:numPr>
      <w:tabs>
        <w:tab w:val="clear" w:pos="1152"/>
        <w:tab w:val="left" w:pos="576"/>
      </w:tabs>
    </w:pPr>
    <w:rPr>
      <w:bCs/>
    </w:rPr>
  </w:style>
  <w:style w:type="paragraph" w:customStyle="1" w:styleId="ARCATSubPara">
    <w:name w:val="ARCAT SubPara"/>
    <w:basedOn w:val="ARCATParagraph"/>
    <w:next w:val="ARCATBlank"/>
    <w:autoRedefine/>
    <w:rsid w:val="00B87138"/>
    <w:pPr>
      <w:numPr>
        <w:ilvl w:val="3"/>
      </w:numPr>
      <w:tabs>
        <w:tab w:val="clear" w:pos="1728"/>
      </w:tabs>
    </w:pPr>
    <w:rPr>
      <w:lang w:val="en-US"/>
    </w:rPr>
  </w:style>
  <w:style w:type="paragraph" w:customStyle="1" w:styleId="ARCATSubSub1">
    <w:name w:val="ARCAT SubSub1"/>
    <w:basedOn w:val="ARCATSubPara"/>
    <w:next w:val="ARCATBlank"/>
    <w:autoRedefine/>
    <w:rsid w:val="00443310"/>
    <w:pPr>
      <w:numPr>
        <w:ilvl w:val="4"/>
      </w:numPr>
      <w:tabs>
        <w:tab w:val="clear" w:pos="2304"/>
      </w:tabs>
    </w:pPr>
  </w:style>
  <w:style w:type="paragraph" w:customStyle="1" w:styleId="ARCATSubSub2">
    <w:name w:val="ARCAT SubSub2"/>
    <w:basedOn w:val="ARCATSubSub1"/>
    <w:autoRedefine/>
    <w:rsid w:val="00EA3141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EA3141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EA3141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EA3141"/>
    <w:pPr>
      <w:numPr>
        <w:ilvl w:val="8"/>
      </w:numPr>
    </w:pPr>
  </w:style>
  <w:style w:type="paragraph" w:customStyle="1" w:styleId="ARCATNote">
    <w:name w:val="ARCAT Note"/>
    <w:basedOn w:val="Normal"/>
    <w:autoRedefine/>
    <w:rsid w:val="00F65DD4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FF00FF"/>
    </w:rPr>
  </w:style>
  <w:style w:type="paragraph" w:styleId="Encabezado">
    <w:name w:val="header"/>
    <w:basedOn w:val="Normal"/>
    <w:rsid w:val="00EA314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A3141"/>
    <w:pPr>
      <w:tabs>
        <w:tab w:val="center" w:pos="4320"/>
        <w:tab w:val="right" w:pos="8640"/>
      </w:tabs>
    </w:pPr>
  </w:style>
  <w:style w:type="paragraph" w:customStyle="1" w:styleId="PRT">
    <w:name w:val="PRT"/>
    <w:basedOn w:val="Normal"/>
    <w:next w:val="ART"/>
    <w:rsid w:val="00EA3141"/>
    <w:pPr>
      <w:keepNext/>
      <w:numPr>
        <w:numId w:val="3"/>
      </w:numPr>
      <w:suppressAutoHyphens/>
      <w:spacing w:before="480"/>
      <w:jc w:val="both"/>
      <w:outlineLvl w:val="0"/>
    </w:pPr>
    <w:rPr>
      <w:rFonts w:ascii="Times New Roman" w:hAnsi="Times New Roman" w:cs="Times New Roman"/>
    </w:rPr>
  </w:style>
  <w:style w:type="paragraph" w:customStyle="1" w:styleId="SUT">
    <w:name w:val="SUT"/>
    <w:basedOn w:val="Normal"/>
    <w:next w:val="PR1"/>
    <w:rsid w:val="00EA3141"/>
    <w:pPr>
      <w:numPr>
        <w:ilvl w:val="1"/>
        <w:numId w:val="3"/>
      </w:numPr>
      <w:suppressAutoHyphens/>
      <w:spacing w:before="240"/>
      <w:jc w:val="both"/>
      <w:outlineLvl w:val="0"/>
    </w:pPr>
    <w:rPr>
      <w:rFonts w:ascii="Times New Roman" w:hAnsi="Times New Roman" w:cs="Times New Roman"/>
    </w:rPr>
  </w:style>
  <w:style w:type="paragraph" w:customStyle="1" w:styleId="DST">
    <w:name w:val="DST"/>
    <w:basedOn w:val="Normal"/>
    <w:next w:val="PR1"/>
    <w:rsid w:val="00EA3141"/>
    <w:pPr>
      <w:numPr>
        <w:ilvl w:val="2"/>
        <w:numId w:val="3"/>
      </w:numPr>
      <w:suppressAutoHyphens/>
      <w:spacing w:before="240"/>
      <w:jc w:val="both"/>
      <w:outlineLvl w:val="0"/>
    </w:pPr>
    <w:rPr>
      <w:rFonts w:ascii="Times New Roman" w:hAnsi="Times New Roman" w:cs="Times New Roman"/>
    </w:rPr>
  </w:style>
  <w:style w:type="paragraph" w:customStyle="1" w:styleId="ART">
    <w:name w:val="ART"/>
    <w:basedOn w:val="Normal"/>
    <w:next w:val="PR1"/>
    <w:rsid w:val="00EA3141"/>
    <w:pPr>
      <w:keepNext/>
      <w:numPr>
        <w:ilvl w:val="3"/>
        <w:numId w:val="3"/>
      </w:numPr>
      <w:suppressAutoHyphens/>
      <w:spacing w:before="480"/>
      <w:jc w:val="both"/>
      <w:outlineLvl w:val="1"/>
    </w:pPr>
    <w:rPr>
      <w:rFonts w:ascii="Times New Roman" w:hAnsi="Times New Roman" w:cs="Times New Roman"/>
    </w:rPr>
  </w:style>
  <w:style w:type="paragraph" w:customStyle="1" w:styleId="PR1">
    <w:name w:val="PR1"/>
    <w:basedOn w:val="Normal"/>
    <w:rsid w:val="00EA3141"/>
    <w:pPr>
      <w:numPr>
        <w:ilvl w:val="4"/>
        <w:numId w:val="3"/>
      </w:numPr>
      <w:suppressAutoHyphens/>
      <w:spacing w:before="240"/>
      <w:jc w:val="both"/>
      <w:outlineLvl w:val="2"/>
    </w:pPr>
    <w:rPr>
      <w:rFonts w:ascii="Times New Roman" w:hAnsi="Times New Roman" w:cs="Times New Roman"/>
    </w:rPr>
  </w:style>
  <w:style w:type="paragraph" w:customStyle="1" w:styleId="PR2">
    <w:name w:val="PR2"/>
    <w:basedOn w:val="Normal"/>
    <w:rsid w:val="00EA3141"/>
    <w:pPr>
      <w:numPr>
        <w:ilvl w:val="5"/>
        <w:numId w:val="3"/>
      </w:numPr>
      <w:suppressAutoHyphens/>
      <w:jc w:val="both"/>
      <w:outlineLvl w:val="3"/>
    </w:pPr>
    <w:rPr>
      <w:rFonts w:ascii="Times New Roman" w:hAnsi="Times New Roman" w:cs="Times New Roman"/>
    </w:rPr>
  </w:style>
  <w:style w:type="paragraph" w:customStyle="1" w:styleId="PR3">
    <w:name w:val="PR3"/>
    <w:basedOn w:val="Normal"/>
    <w:rsid w:val="00EA3141"/>
    <w:pPr>
      <w:numPr>
        <w:ilvl w:val="6"/>
        <w:numId w:val="3"/>
      </w:numPr>
      <w:suppressAutoHyphens/>
      <w:jc w:val="both"/>
      <w:outlineLvl w:val="4"/>
    </w:pPr>
    <w:rPr>
      <w:rFonts w:ascii="Times New Roman" w:hAnsi="Times New Roman" w:cs="Times New Roman"/>
    </w:rPr>
  </w:style>
  <w:style w:type="paragraph" w:customStyle="1" w:styleId="PR4">
    <w:name w:val="PR4"/>
    <w:basedOn w:val="Normal"/>
    <w:rsid w:val="00EA3141"/>
    <w:pPr>
      <w:numPr>
        <w:ilvl w:val="7"/>
        <w:numId w:val="3"/>
      </w:numPr>
      <w:suppressAutoHyphens/>
      <w:jc w:val="both"/>
      <w:outlineLvl w:val="5"/>
    </w:pPr>
    <w:rPr>
      <w:rFonts w:ascii="Times New Roman" w:hAnsi="Times New Roman" w:cs="Times New Roman"/>
    </w:rPr>
  </w:style>
  <w:style w:type="paragraph" w:customStyle="1" w:styleId="PR5">
    <w:name w:val="PR5"/>
    <w:basedOn w:val="Normal"/>
    <w:rsid w:val="00EA3141"/>
    <w:pPr>
      <w:numPr>
        <w:ilvl w:val="8"/>
        <w:numId w:val="3"/>
      </w:numPr>
      <w:suppressAutoHyphens/>
      <w:jc w:val="both"/>
      <w:outlineLvl w:val="6"/>
    </w:pPr>
    <w:rPr>
      <w:rFonts w:ascii="Times New Roman" w:hAnsi="Times New Roman" w:cs="Times New Roman"/>
    </w:rPr>
  </w:style>
  <w:style w:type="paragraph" w:customStyle="1" w:styleId="Part">
    <w:name w:val="Part"/>
    <w:basedOn w:val="Normal"/>
    <w:next w:val="Normal"/>
    <w:autoRedefine/>
    <w:rsid w:val="00EA3141"/>
    <w:pPr>
      <w:numPr>
        <w:numId w:val="4"/>
      </w:numPr>
      <w:suppressAutoHyphens/>
      <w:outlineLvl w:val="0"/>
    </w:pPr>
    <w:rPr>
      <w:rFonts w:cs="Times New Roman"/>
      <w:snapToGrid w:val="0"/>
    </w:rPr>
  </w:style>
  <w:style w:type="paragraph" w:customStyle="1" w:styleId="Article">
    <w:name w:val="Article"/>
    <w:basedOn w:val="Part"/>
    <w:next w:val="Normal"/>
    <w:autoRedefine/>
    <w:rsid w:val="00EA3141"/>
    <w:pPr>
      <w:numPr>
        <w:ilvl w:val="1"/>
      </w:numPr>
      <w:outlineLvl w:val="1"/>
    </w:pPr>
  </w:style>
  <w:style w:type="paragraph" w:customStyle="1" w:styleId="Paragraph">
    <w:name w:val="Paragraph"/>
    <w:basedOn w:val="Normal"/>
    <w:next w:val="Normal"/>
    <w:autoRedefine/>
    <w:rsid w:val="00EA3141"/>
    <w:pPr>
      <w:numPr>
        <w:ilvl w:val="2"/>
        <w:numId w:val="4"/>
      </w:numPr>
      <w:tabs>
        <w:tab w:val="left" w:pos="0"/>
        <w:tab w:val="left" w:pos="576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outlineLvl w:val="2"/>
    </w:pPr>
    <w:rPr>
      <w:rFonts w:cs="Times New Roman"/>
      <w:snapToGrid w:val="0"/>
    </w:rPr>
  </w:style>
  <w:style w:type="paragraph" w:customStyle="1" w:styleId="SubPara">
    <w:name w:val="SubPara"/>
    <w:basedOn w:val="Paragraph"/>
    <w:autoRedefine/>
    <w:rsid w:val="00EA3141"/>
    <w:pPr>
      <w:numPr>
        <w:ilvl w:val="3"/>
      </w:numPr>
      <w:tabs>
        <w:tab w:val="left" w:pos="1152"/>
      </w:tabs>
      <w:outlineLvl w:val="3"/>
    </w:pPr>
  </w:style>
  <w:style w:type="paragraph" w:customStyle="1" w:styleId="SubSub1">
    <w:name w:val="SubSub1"/>
    <w:basedOn w:val="Paragraph"/>
    <w:autoRedefine/>
    <w:rsid w:val="00EA3141"/>
    <w:pPr>
      <w:numPr>
        <w:ilvl w:val="4"/>
      </w:numPr>
      <w:tabs>
        <w:tab w:val="left" w:pos="1152"/>
      </w:tabs>
      <w:outlineLvl w:val="4"/>
    </w:pPr>
  </w:style>
  <w:style w:type="paragraph" w:customStyle="1" w:styleId="SubSub2">
    <w:name w:val="SubSub2"/>
    <w:basedOn w:val="Paragraph"/>
    <w:autoRedefine/>
    <w:rsid w:val="00EA3141"/>
    <w:pPr>
      <w:numPr>
        <w:ilvl w:val="5"/>
      </w:numPr>
      <w:tabs>
        <w:tab w:val="left" w:pos="1152"/>
      </w:tabs>
      <w:outlineLvl w:val="5"/>
    </w:pPr>
  </w:style>
  <w:style w:type="paragraph" w:customStyle="1" w:styleId="SubSub3">
    <w:name w:val="SubSub3"/>
    <w:basedOn w:val="Paragraph"/>
    <w:autoRedefine/>
    <w:rsid w:val="00EA3141"/>
    <w:pPr>
      <w:numPr>
        <w:ilvl w:val="6"/>
      </w:numPr>
      <w:tabs>
        <w:tab w:val="left" w:pos="1152"/>
      </w:tabs>
      <w:outlineLvl w:val="6"/>
    </w:pPr>
  </w:style>
  <w:style w:type="paragraph" w:customStyle="1" w:styleId="SubSub4">
    <w:name w:val="SubSub4"/>
    <w:basedOn w:val="Paragraph"/>
    <w:autoRedefine/>
    <w:rsid w:val="00EA3141"/>
    <w:pPr>
      <w:numPr>
        <w:ilvl w:val="7"/>
      </w:numPr>
      <w:tabs>
        <w:tab w:val="left" w:pos="1152"/>
      </w:tabs>
      <w:outlineLvl w:val="7"/>
    </w:pPr>
  </w:style>
  <w:style w:type="paragraph" w:customStyle="1" w:styleId="SubSub5">
    <w:name w:val="SubSub5"/>
    <w:basedOn w:val="Paragraph"/>
    <w:autoRedefine/>
    <w:rsid w:val="00EA3141"/>
    <w:pPr>
      <w:numPr>
        <w:ilvl w:val="8"/>
      </w:numPr>
      <w:tabs>
        <w:tab w:val="clear" w:pos="4608"/>
        <w:tab w:val="left" w:pos="1152"/>
        <w:tab w:val="num" w:pos="4752"/>
      </w:tabs>
      <w:outlineLvl w:val="8"/>
    </w:pPr>
  </w:style>
  <w:style w:type="paragraph" w:customStyle="1" w:styleId="Note">
    <w:name w:val="Note"/>
    <w:basedOn w:val="Normal"/>
    <w:autoRedefine/>
    <w:rsid w:val="00EA3141"/>
    <w:pPr>
      <w:suppressAutoHyphens/>
    </w:pPr>
    <w:rPr>
      <w:rFonts w:cs="Times New Roman"/>
      <w:snapToGrid w:val="0"/>
      <w:vanish/>
      <w:color w:val="FF00FF"/>
    </w:rPr>
  </w:style>
  <w:style w:type="character" w:customStyle="1" w:styleId="ARCATParagraphChar1">
    <w:name w:val="ARCAT Paragraph Char1"/>
    <w:rsid w:val="00EA3141"/>
    <w:rPr>
      <w:rFonts w:ascii="Arial" w:hAnsi="Arial"/>
      <w:bCs/>
    </w:rPr>
  </w:style>
  <w:style w:type="character" w:customStyle="1" w:styleId="smallgray1">
    <w:name w:val="smallgray1"/>
    <w:rsid w:val="00EA3141"/>
    <w:rPr>
      <w:rFonts w:ascii="Verdana" w:hAnsi="Verdana" w:hint="default"/>
      <w:color w:val="000000"/>
      <w:sz w:val="17"/>
      <w:szCs w:val="17"/>
    </w:rPr>
  </w:style>
  <w:style w:type="character" w:customStyle="1" w:styleId="bodymedium">
    <w:name w:val="bodymedium"/>
    <w:basedOn w:val="Fuentedeprrafopredeter"/>
    <w:rsid w:val="00EA3141"/>
  </w:style>
  <w:style w:type="character" w:customStyle="1" w:styleId="ARCATBlankChar">
    <w:name w:val="ARCAT Blank Char"/>
    <w:rsid w:val="00EA3141"/>
    <w:rPr>
      <w:rFonts w:ascii="Arial" w:hAnsi="Arial"/>
    </w:rPr>
  </w:style>
  <w:style w:type="character" w:styleId="Hipervnculo">
    <w:name w:val="Hyperlink"/>
    <w:rsid w:val="00EA3141"/>
    <w:rPr>
      <w:color w:val="0000FF"/>
      <w:u w:val="single"/>
    </w:rPr>
  </w:style>
  <w:style w:type="character" w:customStyle="1" w:styleId="normal021">
    <w:name w:val="normal021"/>
    <w:rsid w:val="00EA3141"/>
    <w:rPr>
      <w:rFonts w:ascii="Verdana" w:hAnsi="Verdana" w:hint="default"/>
      <w:sz w:val="17"/>
      <w:szCs w:val="17"/>
    </w:rPr>
  </w:style>
  <w:style w:type="character" w:customStyle="1" w:styleId="ARCATPartChar">
    <w:name w:val="ARCAT Part Char"/>
    <w:basedOn w:val="ARCATBlankChar"/>
    <w:rsid w:val="00EA3141"/>
    <w:rPr>
      <w:rFonts w:ascii="Arial" w:hAnsi="Arial"/>
    </w:rPr>
  </w:style>
  <w:style w:type="paragraph" w:styleId="Textoindependiente">
    <w:name w:val="Body Text"/>
    <w:basedOn w:val="Normal"/>
    <w:rsid w:val="00EA3141"/>
    <w:pPr>
      <w:jc w:val="both"/>
    </w:pPr>
    <w:rPr>
      <w:rFonts w:ascii="Tahoma" w:hAnsi="Tahoma" w:cs="Tahoma"/>
      <w:szCs w:val="24"/>
    </w:rPr>
  </w:style>
  <w:style w:type="character" w:styleId="Refdecomentario">
    <w:name w:val="annotation reference"/>
    <w:semiHidden/>
    <w:rsid w:val="00EA3141"/>
    <w:rPr>
      <w:sz w:val="16"/>
      <w:szCs w:val="16"/>
    </w:rPr>
  </w:style>
  <w:style w:type="paragraph" w:styleId="Textocomentario">
    <w:name w:val="annotation text"/>
    <w:basedOn w:val="Normal"/>
    <w:semiHidden/>
    <w:rsid w:val="00EA3141"/>
  </w:style>
  <w:style w:type="paragraph" w:styleId="Asuntodelcomentario">
    <w:name w:val="annotation subject"/>
    <w:basedOn w:val="Textocomentario"/>
    <w:next w:val="Textocomentario"/>
    <w:semiHidden/>
    <w:rsid w:val="00EA3141"/>
    <w:rPr>
      <w:b/>
      <w:bCs/>
    </w:rPr>
  </w:style>
  <w:style w:type="paragraph" w:styleId="Textodeglobo">
    <w:name w:val="Balloon Text"/>
    <w:basedOn w:val="Normal"/>
    <w:semiHidden/>
    <w:rsid w:val="00EA3141"/>
    <w:rPr>
      <w:rFonts w:ascii="Tahoma" w:hAnsi="Tahoma" w:cs="Tahoma"/>
      <w:sz w:val="16"/>
      <w:szCs w:val="16"/>
    </w:rPr>
  </w:style>
  <w:style w:type="paragraph" w:customStyle="1" w:styleId="ARCATNormal">
    <w:name w:val="ARCAT Normal"/>
    <w:rsid w:val="00EA3141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character" w:customStyle="1" w:styleId="ARCATParagraphChar">
    <w:name w:val="ARCAT Paragraph Char"/>
    <w:rsid w:val="00EA3141"/>
    <w:rPr>
      <w:rFonts w:ascii="Arial" w:hAnsi="Arial" w:cs="Arial"/>
      <w:lang w:bidi="en-US"/>
    </w:rPr>
  </w:style>
  <w:style w:type="paragraph" w:customStyle="1" w:styleId="StyleARCATBlankBlue">
    <w:name w:val="Style ARCAT Blank + Blue"/>
    <w:basedOn w:val="ARCATBlank"/>
    <w:rsid w:val="00EA3141"/>
    <w:rPr>
      <w:color w:val="0000FF"/>
    </w:rPr>
  </w:style>
  <w:style w:type="paragraph" w:customStyle="1" w:styleId="StyleARCATParagraphCustomColorRGB19200">
    <w:name w:val="Style ARCAT Paragraph + Custom Color(RGB(19200))"/>
    <w:basedOn w:val="ARCATParagraph"/>
    <w:rsid w:val="00EA3141"/>
    <w:rPr>
      <w:bCs w:val="0"/>
      <w:color w:val="C00000"/>
    </w:rPr>
  </w:style>
  <w:style w:type="paragraph" w:customStyle="1" w:styleId="StyleARCATSubSub2Red">
    <w:name w:val="Style ARCAT SubSub2 + Red"/>
    <w:basedOn w:val="ARCATSubSub2"/>
    <w:rsid w:val="00EA3141"/>
    <w:rPr>
      <w:bCs w:val="0"/>
      <w:color w:val="FF0000"/>
    </w:rPr>
  </w:style>
  <w:style w:type="paragraph" w:customStyle="1" w:styleId="StyleARCATBlankRed">
    <w:name w:val="Style ARCAT Blank + Red"/>
    <w:basedOn w:val="ARCATBlank"/>
    <w:rsid w:val="00EA3141"/>
    <w:rPr>
      <w:rFonts w:cs="Arial"/>
      <w:color w:val="FF0000"/>
      <w:lang w:val="en-US"/>
    </w:rPr>
  </w:style>
  <w:style w:type="paragraph" w:customStyle="1" w:styleId="StyleARCATParagraphRed">
    <w:name w:val="Style ARCAT Paragraph + Red"/>
    <w:basedOn w:val="ARCATParagraph"/>
    <w:rsid w:val="00EA3141"/>
    <w:rPr>
      <w:bCs w:val="0"/>
      <w:color w:val="FF0000"/>
    </w:rPr>
  </w:style>
  <w:style w:type="paragraph" w:customStyle="1" w:styleId="StyleARCATSubParaBlue">
    <w:name w:val="Style ARCAT SubPara + Blue"/>
    <w:basedOn w:val="ARCATSubPara"/>
    <w:rsid w:val="00EA3141"/>
    <w:rPr>
      <w:color w:val="0000FF"/>
    </w:rPr>
  </w:style>
  <w:style w:type="character" w:customStyle="1" w:styleId="ARCATSubParaChar">
    <w:name w:val="ARCAT SubPara Char"/>
    <w:basedOn w:val="ARCATParagraphChar1"/>
    <w:rsid w:val="00EA3141"/>
    <w:rPr>
      <w:rFonts w:ascii="Arial" w:hAnsi="Arial"/>
      <w:bCs/>
    </w:rPr>
  </w:style>
  <w:style w:type="character" w:customStyle="1" w:styleId="StyleARCATSubParaBlueChar">
    <w:name w:val="Style ARCAT SubPara + Blue Char"/>
    <w:rsid w:val="00EA3141"/>
    <w:rPr>
      <w:rFonts w:ascii="Arial" w:hAnsi="Arial" w:cs="Arial"/>
      <w:bCs/>
      <w:color w:val="0000FF"/>
    </w:rPr>
  </w:style>
  <w:style w:type="paragraph" w:customStyle="1" w:styleId="StyleARCATSubSub1Red">
    <w:name w:val="Style ARCAT SubSub1 + Red"/>
    <w:basedOn w:val="ARCATSubSub1"/>
    <w:rsid w:val="00EA3141"/>
    <w:rPr>
      <w:bCs w:val="0"/>
      <w:color w:val="FF0000"/>
    </w:rPr>
  </w:style>
  <w:style w:type="paragraph" w:customStyle="1" w:styleId="StyleARCATSubParaRed">
    <w:name w:val="Style ARCAT SubPara + Red"/>
    <w:basedOn w:val="ARCATSubPara"/>
    <w:rsid w:val="00EA3141"/>
    <w:rPr>
      <w:color w:val="FF0000"/>
    </w:rPr>
  </w:style>
  <w:style w:type="character" w:customStyle="1" w:styleId="StyleARCATSubParaRedChar">
    <w:name w:val="Style ARCAT SubPara + Red Char"/>
    <w:rsid w:val="00EA3141"/>
    <w:rPr>
      <w:rFonts w:ascii="Arial" w:hAnsi="Arial" w:cs="Arial"/>
      <w:bCs/>
      <w:color w:val="FF0000"/>
    </w:rPr>
  </w:style>
  <w:style w:type="character" w:customStyle="1" w:styleId="StyleARCATBlankRedChar">
    <w:name w:val="Style ARCAT Blank + Red Char"/>
    <w:rsid w:val="00EA3141"/>
    <w:rPr>
      <w:rFonts w:ascii="Arial" w:hAnsi="Arial" w:cs="Arial"/>
      <w:color w:val="FF0000"/>
      <w:lang w:val="en-US" w:eastAsia="en-US" w:bidi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B52E1"/>
    <w:rPr>
      <w:rFonts w:ascii="Lucida Grande" w:hAnsi="Lucida Grande" w:cs="Times New Roman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3B52E1"/>
    <w:rPr>
      <w:rFonts w:ascii="Lucida Grande" w:hAnsi="Lucida Grande" w:cs="Arial"/>
      <w:noProof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D232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OfSection">
    <w:name w:val="ARCAT TitleOfSection"/>
    <w:basedOn w:val="Normal"/>
    <w:next w:val="ARCATBlank"/>
    <w:autoRedefine/>
    <w:pPr>
      <w:widowControl/>
      <w:tabs>
        <w:tab w:val="center" w:pos="4320"/>
      </w:tabs>
      <w:suppressAutoHyphens/>
      <w:jc w:val="center"/>
    </w:pPr>
  </w:style>
  <w:style w:type="paragraph" w:customStyle="1" w:styleId="ARCATBlank">
    <w:name w:val="ARCAT Blank"/>
    <w:basedOn w:val="Normal"/>
    <w:autoRedefine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cs="Times New Roman"/>
      <w:lang w:val="x-none" w:eastAsia="x-none"/>
    </w:rPr>
  </w:style>
  <w:style w:type="paragraph" w:customStyle="1" w:styleId="ARCATEndOfSection">
    <w:name w:val="ARCAT EndOfSection"/>
    <w:basedOn w:val="ARCATTitleOfSection"/>
    <w:next w:val="Normal"/>
    <w:autoRedefine/>
    <w:pPr>
      <w:jc w:val="left"/>
    </w:pPr>
  </w:style>
  <w:style w:type="paragraph" w:customStyle="1" w:styleId="ARCATPart">
    <w:name w:val="ARCAT Part"/>
    <w:basedOn w:val="ARCATBlank"/>
    <w:next w:val="ARCATBlank"/>
    <w:autoRedefine/>
    <w:pPr>
      <w:numPr>
        <w:numId w:val="2"/>
      </w:numPr>
    </w:pPr>
  </w:style>
  <w:style w:type="paragraph" w:customStyle="1" w:styleId="ARCATArticle">
    <w:name w:val="ARCAT Article"/>
    <w:basedOn w:val="ARCATPart"/>
    <w:next w:val="ARCATBlank"/>
    <w:autoRedefine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next w:val="ARCATBlank"/>
    <w:autoRedefine/>
    <w:rsid w:val="00B1253C"/>
    <w:pPr>
      <w:numPr>
        <w:ilvl w:val="2"/>
      </w:numPr>
      <w:tabs>
        <w:tab w:val="clear" w:pos="1152"/>
        <w:tab w:val="left" w:pos="576"/>
      </w:tabs>
    </w:pPr>
    <w:rPr>
      <w:bCs/>
    </w:rPr>
  </w:style>
  <w:style w:type="paragraph" w:customStyle="1" w:styleId="ARCATSubPara">
    <w:name w:val="ARCAT SubPara"/>
    <w:basedOn w:val="ARCATParagraph"/>
    <w:next w:val="ARCATBlank"/>
    <w:autoRedefine/>
    <w:rsid w:val="00B87138"/>
    <w:pPr>
      <w:numPr>
        <w:ilvl w:val="3"/>
      </w:numPr>
      <w:tabs>
        <w:tab w:val="clear" w:pos="1728"/>
      </w:tabs>
    </w:pPr>
    <w:rPr>
      <w:lang w:val="en-US"/>
    </w:rPr>
  </w:style>
  <w:style w:type="paragraph" w:customStyle="1" w:styleId="ARCATSubSub1">
    <w:name w:val="ARCAT SubSub1"/>
    <w:basedOn w:val="ARCATSubPara"/>
    <w:next w:val="ARCATBlank"/>
    <w:autoRedefine/>
    <w:rsid w:val="00443310"/>
    <w:pPr>
      <w:numPr>
        <w:ilvl w:val="4"/>
      </w:numPr>
      <w:tabs>
        <w:tab w:val="clear" w:pos="2304"/>
      </w:tabs>
    </w:pPr>
  </w:style>
  <w:style w:type="paragraph" w:customStyle="1" w:styleId="ARCATSubSub2">
    <w:name w:val="ARCAT SubSub2"/>
    <w:basedOn w:val="ARCATSubSub1"/>
    <w:autoRedefine/>
    <w:pPr>
      <w:numPr>
        <w:ilvl w:val="5"/>
      </w:numPr>
    </w:pPr>
  </w:style>
  <w:style w:type="paragraph" w:customStyle="1" w:styleId="ARCATSubSub3">
    <w:name w:val="ARCAT SubSub3"/>
    <w:basedOn w:val="ARCATSubSub2"/>
    <w:autoRedefine/>
    <w:pPr>
      <w:numPr>
        <w:ilvl w:val="6"/>
      </w:numPr>
    </w:pPr>
  </w:style>
  <w:style w:type="paragraph" w:customStyle="1" w:styleId="ARCATSubSub4">
    <w:name w:val="ARCAT SubSub4"/>
    <w:basedOn w:val="ARCATSubSub3"/>
    <w:autoRedefine/>
    <w:pPr>
      <w:numPr>
        <w:ilvl w:val="7"/>
      </w:numPr>
    </w:pPr>
  </w:style>
  <w:style w:type="paragraph" w:customStyle="1" w:styleId="ARCATSubSub5">
    <w:name w:val="ARCAT SubSub5"/>
    <w:basedOn w:val="ARCATSubSub4"/>
    <w:autoRedefine/>
    <w:pPr>
      <w:numPr>
        <w:ilvl w:val="8"/>
      </w:numPr>
    </w:pPr>
  </w:style>
  <w:style w:type="paragraph" w:customStyle="1" w:styleId="ARCATNote">
    <w:name w:val="ARCAT Note"/>
    <w:basedOn w:val="Normal"/>
    <w:autoRedefine/>
    <w:rsid w:val="00F65DD4"/>
    <w:pPr>
      <w:widowControl/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FF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T">
    <w:name w:val="PRT"/>
    <w:basedOn w:val="Normal"/>
    <w:next w:val="ART"/>
    <w:pPr>
      <w:keepNext/>
      <w:widowControl/>
      <w:numPr>
        <w:numId w:val="3"/>
      </w:numPr>
      <w:suppressAutoHyphens/>
      <w:autoSpaceDE/>
      <w:autoSpaceDN/>
      <w:adjustRightInd/>
      <w:spacing w:before="480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SUT">
    <w:name w:val="SUT"/>
    <w:basedOn w:val="Normal"/>
    <w:next w:val="PR1"/>
    <w:pPr>
      <w:widowControl/>
      <w:numPr>
        <w:ilvl w:val="1"/>
        <w:numId w:val="3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pPr>
      <w:widowControl/>
      <w:numPr>
        <w:ilvl w:val="2"/>
        <w:numId w:val="3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ART">
    <w:name w:val="ART"/>
    <w:basedOn w:val="Normal"/>
    <w:next w:val="PR1"/>
    <w:pPr>
      <w:keepNext/>
      <w:widowControl/>
      <w:numPr>
        <w:ilvl w:val="3"/>
        <w:numId w:val="3"/>
      </w:numPr>
      <w:suppressAutoHyphens/>
      <w:autoSpaceDE/>
      <w:autoSpaceDN/>
      <w:adjustRightInd/>
      <w:spacing w:before="480"/>
      <w:jc w:val="both"/>
      <w:outlineLvl w:val="1"/>
    </w:pPr>
    <w:rPr>
      <w:rFonts w:ascii="Times New Roman" w:hAnsi="Times New Roman" w:cs="Times New Roman"/>
      <w:sz w:val="22"/>
    </w:rPr>
  </w:style>
  <w:style w:type="paragraph" w:customStyle="1" w:styleId="PR1">
    <w:name w:val="PR1"/>
    <w:basedOn w:val="Normal"/>
    <w:pPr>
      <w:widowControl/>
      <w:numPr>
        <w:ilvl w:val="4"/>
        <w:numId w:val="3"/>
      </w:numPr>
      <w:suppressAutoHyphens/>
      <w:autoSpaceDE/>
      <w:autoSpaceDN/>
      <w:adjustRightInd/>
      <w:spacing w:before="240"/>
      <w:jc w:val="both"/>
      <w:outlineLvl w:val="2"/>
    </w:pPr>
    <w:rPr>
      <w:rFonts w:ascii="Times New Roman" w:hAnsi="Times New Roman" w:cs="Times New Roman"/>
      <w:sz w:val="22"/>
    </w:rPr>
  </w:style>
  <w:style w:type="paragraph" w:customStyle="1" w:styleId="PR2">
    <w:name w:val="PR2"/>
    <w:basedOn w:val="Normal"/>
    <w:pPr>
      <w:widowControl/>
      <w:numPr>
        <w:ilvl w:val="5"/>
        <w:numId w:val="3"/>
      </w:numPr>
      <w:suppressAutoHyphens/>
      <w:autoSpaceDE/>
      <w:autoSpaceDN/>
      <w:adjustRightInd/>
      <w:jc w:val="both"/>
      <w:outlineLvl w:val="3"/>
    </w:pPr>
    <w:rPr>
      <w:rFonts w:ascii="Times New Roman" w:hAnsi="Times New Roman" w:cs="Times New Roman"/>
      <w:sz w:val="22"/>
    </w:rPr>
  </w:style>
  <w:style w:type="paragraph" w:customStyle="1" w:styleId="PR3">
    <w:name w:val="PR3"/>
    <w:basedOn w:val="Normal"/>
    <w:pPr>
      <w:widowControl/>
      <w:numPr>
        <w:ilvl w:val="6"/>
        <w:numId w:val="3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sz w:val="22"/>
    </w:rPr>
  </w:style>
  <w:style w:type="paragraph" w:customStyle="1" w:styleId="PR4">
    <w:name w:val="PR4"/>
    <w:basedOn w:val="Normal"/>
    <w:pPr>
      <w:widowControl/>
      <w:numPr>
        <w:ilvl w:val="7"/>
        <w:numId w:val="3"/>
      </w:numPr>
      <w:suppressAutoHyphens/>
      <w:autoSpaceDE/>
      <w:autoSpaceDN/>
      <w:adjustRightInd/>
      <w:jc w:val="both"/>
      <w:outlineLvl w:val="5"/>
    </w:pPr>
    <w:rPr>
      <w:rFonts w:ascii="Times New Roman" w:hAnsi="Times New Roman" w:cs="Times New Roman"/>
      <w:sz w:val="22"/>
    </w:rPr>
  </w:style>
  <w:style w:type="paragraph" w:customStyle="1" w:styleId="PR5">
    <w:name w:val="PR5"/>
    <w:basedOn w:val="Normal"/>
    <w:pPr>
      <w:widowControl/>
      <w:numPr>
        <w:ilvl w:val="8"/>
        <w:numId w:val="3"/>
      </w:numPr>
      <w:suppressAutoHyphens/>
      <w:autoSpaceDE/>
      <w:autoSpaceDN/>
      <w:adjustRightInd/>
      <w:jc w:val="both"/>
      <w:outlineLvl w:val="6"/>
    </w:pPr>
    <w:rPr>
      <w:rFonts w:ascii="Times New Roman" w:hAnsi="Times New Roman" w:cs="Times New Roman"/>
      <w:sz w:val="22"/>
    </w:rPr>
  </w:style>
  <w:style w:type="paragraph" w:customStyle="1" w:styleId="Part">
    <w:name w:val="Part"/>
    <w:basedOn w:val="Normal"/>
    <w:next w:val="Normal"/>
    <w:autoRedefine/>
    <w:pPr>
      <w:widowControl/>
      <w:numPr>
        <w:numId w:val="4"/>
      </w:numPr>
      <w:suppressAutoHyphens/>
      <w:autoSpaceDE/>
      <w:autoSpaceDN/>
      <w:adjustRightInd/>
      <w:outlineLvl w:val="0"/>
    </w:pPr>
    <w:rPr>
      <w:rFonts w:cs="Times New Roman"/>
      <w:snapToGrid w:val="0"/>
    </w:rPr>
  </w:style>
  <w:style w:type="paragraph" w:customStyle="1" w:styleId="Article">
    <w:name w:val="Article"/>
    <w:basedOn w:val="Part"/>
    <w:next w:val="Normal"/>
    <w:autoRedefine/>
    <w:pPr>
      <w:numPr>
        <w:ilvl w:val="1"/>
      </w:numPr>
      <w:outlineLvl w:val="1"/>
    </w:pPr>
  </w:style>
  <w:style w:type="paragraph" w:customStyle="1" w:styleId="Paragraph">
    <w:name w:val="Paragraph"/>
    <w:basedOn w:val="Normal"/>
    <w:next w:val="Normal"/>
    <w:autoRedefine/>
    <w:pPr>
      <w:widowControl/>
      <w:numPr>
        <w:ilvl w:val="2"/>
        <w:numId w:val="4"/>
      </w:numPr>
      <w:tabs>
        <w:tab w:val="left" w:pos="0"/>
        <w:tab w:val="left" w:pos="576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autoSpaceDE/>
      <w:autoSpaceDN/>
      <w:adjustRightInd/>
      <w:outlineLvl w:val="2"/>
    </w:pPr>
    <w:rPr>
      <w:rFonts w:cs="Times New Roman"/>
      <w:snapToGrid w:val="0"/>
    </w:rPr>
  </w:style>
  <w:style w:type="paragraph" w:customStyle="1" w:styleId="SubPara">
    <w:name w:val="SubPara"/>
    <w:basedOn w:val="Paragraph"/>
    <w:autoRedefine/>
    <w:pPr>
      <w:numPr>
        <w:ilvl w:val="3"/>
      </w:numPr>
      <w:tabs>
        <w:tab w:val="left" w:pos="1152"/>
      </w:tabs>
      <w:outlineLvl w:val="3"/>
    </w:pPr>
  </w:style>
  <w:style w:type="paragraph" w:customStyle="1" w:styleId="SubSub1">
    <w:name w:val="SubSub1"/>
    <w:basedOn w:val="Paragraph"/>
    <w:autoRedefine/>
    <w:pPr>
      <w:numPr>
        <w:ilvl w:val="4"/>
      </w:numPr>
      <w:tabs>
        <w:tab w:val="left" w:pos="1152"/>
      </w:tabs>
      <w:outlineLvl w:val="4"/>
    </w:pPr>
  </w:style>
  <w:style w:type="paragraph" w:customStyle="1" w:styleId="SubSub2">
    <w:name w:val="SubSub2"/>
    <w:basedOn w:val="Paragraph"/>
    <w:autoRedefine/>
    <w:pPr>
      <w:numPr>
        <w:ilvl w:val="5"/>
      </w:numPr>
      <w:tabs>
        <w:tab w:val="left" w:pos="1152"/>
      </w:tabs>
      <w:outlineLvl w:val="5"/>
    </w:pPr>
  </w:style>
  <w:style w:type="paragraph" w:customStyle="1" w:styleId="SubSub3">
    <w:name w:val="SubSub3"/>
    <w:basedOn w:val="Paragraph"/>
    <w:autoRedefine/>
    <w:pPr>
      <w:numPr>
        <w:ilvl w:val="6"/>
      </w:numPr>
      <w:tabs>
        <w:tab w:val="left" w:pos="1152"/>
      </w:tabs>
      <w:outlineLvl w:val="6"/>
    </w:pPr>
  </w:style>
  <w:style w:type="paragraph" w:customStyle="1" w:styleId="SubSub4">
    <w:name w:val="SubSub4"/>
    <w:basedOn w:val="Paragraph"/>
    <w:autoRedefine/>
    <w:pPr>
      <w:numPr>
        <w:ilvl w:val="7"/>
      </w:numPr>
      <w:tabs>
        <w:tab w:val="left" w:pos="1152"/>
      </w:tabs>
      <w:outlineLvl w:val="7"/>
    </w:pPr>
  </w:style>
  <w:style w:type="paragraph" w:customStyle="1" w:styleId="SubSub5">
    <w:name w:val="SubSub5"/>
    <w:basedOn w:val="Paragraph"/>
    <w:autoRedefine/>
    <w:pPr>
      <w:numPr>
        <w:ilvl w:val="8"/>
      </w:numPr>
      <w:tabs>
        <w:tab w:val="clear" w:pos="4608"/>
        <w:tab w:val="left" w:pos="1152"/>
        <w:tab w:val="num" w:pos="4752"/>
      </w:tabs>
      <w:outlineLvl w:val="8"/>
    </w:pPr>
  </w:style>
  <w:style w:type="paragraph" w:customStyle="1" w:styleId="Note">
    <w:name w:val="Note"/>
    <w:basedOn w:val="Normal"/>
    <w:autoRedefine/>
    <w:pPr>
      <w:widowControl/>
      <w:suppressAutoHyphens/>
      <w:autoSpaceDE/>
      <w:autoSpaceDN/>
      <w:adjustRightInd/>
    </w:pPr>
    <w:rPr>
      <w:rFonts w:cs="Times New Roman"/>
      <w:snapToGrid w:val="0"/>
      <w:vanish/>
      <w:color w:val="FF00FF"/>
    </w:rPr>
  </w:style>
  <w:style w:type="character" w:customStyle="1" w:styleId="ARCATParagraphChar1">
    <w:name w:val="ARCAT Paragraph Char1"/>
    <w:rPr>
      <w:rFonts w:ascii="Arial" w:hAnsi="Arial"/>
      <w:bCs/>
      <w:lang w:val="x-none" w:eastAsia="x-none"/>
    </w:rPr>
  </w:style>
  <w:style w:type="character" w:customStyle="1" w:styleId="smallgray1">
    <w:name w:val="smallgray1"/>
    <w:rPr>
      <w:rFonts w:ascii="Verdana" w:hAnsi="Verdana" w:hint="default"/>
      <w:color w:val="000000"/>
      <w:sz w:val="17"/>
      <w:szCs w:val="17"/>
    </w:rPr>
  </w:style>
  <w:style w:type="character" w:customStyle="1" w:styleId="bodymedium">
    <w:name w:val="bodymedium"/>
    <w:basedOn w:val="DefaultParagraphFont"/>
  </w:style>
  <w:style w:type="character" w:customStyle="1" w:styleId="ARCATBlankChar">
    <w:name w:val="ARCAT Blank Char"/>
    <w:rPr>
      <w:rFonts w:ascii="Arial" w:hAnsi="Arial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normal021">
    <w:name w:val="normal021"/>
    <w:rPr>
      <w:rFonts w:ascii="Verdana" w:hAnsi="Verdana" w:hint="default"/>
      <w:sz w:val="17"/>
      <w:szCs w:val="17"/>
    </w:rPr>
  </w:style>
  <w:style w:type="character" w:customStyle="1" w:styleId="ARCATPartChar">
    <w:name w:val="ARCAT Part Char"/>
    <w:basedOn w:val="ARCATBlankChar"/>
    <w:rPr>
      <w:rFonts w:ascii="Arial" w:hAnsi="Arial"/>
      <w:lang w:val="x-none" w:eastAsia="x-none"/>
    </w:rPr>
  </w:style>
  <w:style w:type="paragraph" w:styleId="BodyText">
    <w:name w:val="Body Text"/>
    <w:basedOn w:val="Normal"/>
    <w:pPr>
      <w:widowControl/>
      <w:autoSpaceDE/>
      <w:autoSpaceDN/>
      <w:adjustRightInd/>
      <w:jc w:val="both"/>
    </w:pPr>
    <w:rPr>
      <w:rFonts w:ascii="Tahoma" w:hAnsi="Tahoma" w:cs="Tahoma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RCATNormal">
    <w:name w:val="ARCAT Normal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character" w:customStyle="1" w:styleId="ARCATParagraphChar">
    <w:name w:val="ARCAT Paragraph Char"/>
    <w:rPr>
      <w:rFonts w:ascii="Arial" w:hAnsi="Arial" w:cs="Arial"/>
      <w:lang w:bidi="en-US"/>
    </w:rPr>
  </w:style>
  <w:style w:type="paragraph" w:customStyle="1" w:styleId="StyleARCATBlankBlue">
    <w:name w:val="Style ARCAT Blank + Blue"/>
    <w:basedOn w:val="ARCATBlank"/>
    <w:rPr>
      <w:color w:val="0000FF"/>
    </w:rPr>
  </w:style>
  <w:style w:type="paragraph" w:customStyle="1" w:styleId="StyleARCATParagraphCustomColorRGB19200">
    <w:name w:val="Style ARCAT Paragraph + Custom Color(RGB(19200))"/>
    <w:basedOn w:val="ARCATParagraph"/>
    <w:rPr>
      <w:bCs w:val="0"/>
      <w:color w:val="C00000"/>
    </w:rPr>
  </w:style>
  <w:style w:type="paragraph" w:customStyle="1" w:styleId="StyleARCATSubSub2Red">
    <w:name w:val="Style ARCAT SubSub2 + Red"/>
    <w:basedOn w:val="ARCATSubSub2"/>
    <w:rPr>
      <w:bCs w:val="0"/>
      <w:color w:val="FF0000"/>
    </w:rPr>
  </w:style>
  <w:style w:type="paragraph" w:customStyle="1" w:styleId="StyleARCATBlankRed">
    <w:name w:val="Style ARCAT Blank + Red"/>
    <w:basedOn w:val="ARCATBlank"/>
    <w:rPr>
      <w:rFonts w:cs="Arial"/>
      <w:color w:val="FF0000"/>
      <w:lang w:val="en-US" w:eastAsia="en-US"/>
    </w:rPr>
  </w:style>
  <w:style w:type="paragraph" w:customStyle="1" w:styleId="StyleARCATParagraphRed">
    <w:name w:val="Style ARCAT Paragraph + Red"/>
    <w:basedOn w:val="ARCATParagraph"/>
    <w:rPr>
      <w:bCs w:val="0"/>
      <w:color w:val="FF0000"/>
    </w:rPr>
  </w:style>
  <w:style w:type="paragraph" w:customStyle="1" w:styleId="StyleARCATSubParaBlue">
    <w:name w:val="Style ARCAT SubPara + Blue"/>
    <w:basedOn w:val="ARCATSubPara"/>
    <w:rPr>
      <w:color w:val="0000FF"/>
    </w:rPr>
  </w:style>
  <w:style w:type="character" w:customStyle="1" w:styleId="ARCATSubParaChar">
    <w:name w:val="ARCAT SubPara Char"/>
    <w:basedOn w:val="ARCATParagraphChar1"/>
    <w:rPr>
      <w:rFonts w:ascii="Arial" w:hAnsi="Arial"/>
      <w:bCs/>
      <w:lang w:val="x-none" w:eastAsia="x-none"/>
    </w:rPr>
  </w:style>
  <w:style w:type="character" w:customStyle="1" w:styleId="StyleARCATSubParaBlueChar">
    <w:name w:val="Style ARCAT SubPara + Blue Char"/>
    <w:rPr>
      <w:rFonts w:ascii="Arial" w:hAnsi="Arial" w:cs="Arial"/>
      <w:bCs/>
      <w:color w:val="0000FF"/>
    </w:rPr>
  </w:style>
  <w:style w:type="paragraph" w:customStyle="1" w:styleId="StyleARCATSubSub1Red">
    <w:name w:val="Style ARCAT SubSub1 + Red"/>
    <w:basedOn w:val="ARCATSubSub1"/>
    <w:rPr>
      <w:bCs w:val="0"/>
      <w:color w:val="FF0000"/>
    </w:rPr>
  </w:style>
  <w:style w:type="paragraph" w:customStyle="1" w:styleId="StyleARCATSubParaRed">
    <w:name w:val="Style ARCAT SubPara + Red"/>
    <w:basedOn w:val="ARCATSubPara"/>
    <w:rPr>
      <w:color w:val="FF0000"/>
    </w:rPr>
  </w:style>
  <w:style w:type="character" w:customStyle="1" w:styleId="StyleARCATSubParaRedChar">
    <w:name w:val="Style ARCAT SubPara + Red Char"/>
    <w:rPr>
      <w:rFonts w:ascii="Arial" w:hAnsi="Arial" w:cs="Arial"/>
      <w:bCs/>
      <w:color w:val="FF0000"/>
    </w:rPr>
  </w:style>
  <w:style w:type="character" w:customStyle="1" w:styleId="StyleARCATBlankRedChar">
    <w:name w:val="Style ARCAT Blank + Red Char"/>
    <w:rPr>
      <w:rFonts w:ascii="Arial" w:hAnsi="Arial" w:cs="Arial"/>
      <w:color w:val="FF0000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52E1"/>
    <w:rPr>
      <w:rFonts w:ascii="Lucida Grande" w:hAnsi="Lucida Grande" w:cs="Times New Roman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3B52E1"/>
    <w:rPr>
      <w:rFonts w:ascii="Lucida Grande" w:hAnsi="Lucida Grande" w:cs="Arial"/>
      <w:noProof/>
      <w:sz w:val="24"/>
      <w:szCs w:val="24"/>
    </w:rPr>
  </w:style>
  <w:style w:type="character" w:styleId="FollowedHyperlink">
    <w:name w:val="FollowedHyperlink"/>
    <w:uiPriority w:val="99"/>
    <w:semiHidden/>
    <w:unhideWhenUsed/>
    <w:rsid w:val="00D232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arcatcos/cos42/arc42485.html?src=spe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9101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13700 - Access Controls</vt:lpstr>
    </vt:vector>
  </TitlesOfParts>
  <LinksUpToDate>false</LinksUpToDate>
  <CharactersWithSpaces>10235</CharactersWithSpaces>
  <SharedDoc>false</SharedDoc>
  <HyperlinkBase/>
  <HLinks>
    <vt:vector size="12" baseType="variant"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2018-01-19T19:14:00Z</dcterms:created>
  <dcterms:modified xsi:type="dcterms:W3CDTF">2018-01-19T19:14:00Z</dcterms:modified>
</cp:coreProperties>
</file>