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70D1" w14:textId="77777777" w:rsidR="00CB3A81" w:rsidRPr="00214EE7" w:rsidRDefault="003008D4" w:rsidP="00CB3A81">
      <w:pPr>
        <w:widowControl/>
        <w:tabs>
          <w:tab w:val="right" w:pos="10080"/>
        </w:tabs>
        <w:rPr>
          <w:rFonts w:cs="Arial"/>
          <w:bCs/>
          <w:color w:val="0070C0"/>
        </w:rPr>
      </w:pPr>
      <w:bookmarkStart w:id="0" w:name="_Hlk61515577"/>
      <w:r>
        <w:rPr>
          <w:rFonts w:cs="Arial"/>
          <w:bCs/>
          <w:color w:val="0070C0"/>
          <w:lang w:val="fr-CA"/>
        </w:rPr>
        <w:t>LiftMaster</w:t>
      </w:r>
      <w:r>
        <w:rPr>
          <w:rFonts w:cs="Arial"/>
          <w:bCs/>
          <w:color w:val="0070C0"/>
          <w:lang w:val="fr-CA"/>
        </w:rPr>
        <w:tab/>
      </w:r>
    </w:p>
    <w:p w14:paraId="709A70D2" w14:textId="77777777" w:rsidR="00CB3A81" w:rsidRPr="00214EE7"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3" w14:textId="77777777"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Cette section comprend des remarques de rédaction pour aider l’utilisateur à rédiger la section de manière à convenir aux exigences du projet. Ces remarques sont incluses en texte masqué et peuvent être révélées ou masquées en utilisant la méthode suivante dans Microsoft Word :</w:t>
      </w:r>
    </w:p>
    <w:p w14:paraId="709A70D4"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5" w14:textId="6BCB7C05" w:rsidR="00134DDE" w:rsidRPr="00214EE7" w:rsidRDefault="003008D4"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fr-CA"/>
        </w:rPr>
        <w:t>Affichez l’onglet FICHIER sur le ruban, cliquez sur OPTIONS, puis sur AFFICHER. Sélectionnez ou désélectionnez TEXTE MASQUÉ.</w:t>
      </w:r>
    </w:p>
    <w:p w14:paraId="709A70D6" w14:textId="77777777" w:rsidR="00134DDE" w:rsidRPr="00214EE7"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09A70D7" w14:textId="0C31B96D"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Cette section sur la spécification guide a été préparée par LiftMaster pour servir à la préparation de la section de spécification du projet couvrant les actionneurs commerciaux de porte pour rideaux et grilles à enroulement au plafond et</w:t>
      </w:r>
      <w:r w:rsidR="00926996" w:rsidRPr="00F131B0">
        <w:rPr>
          <w:rFonts w:cs="Arial"/>
          <w:vanish/>
          <w:color w:val="FF0000"/>
          <w:lang w:val="fr-CA"/>
        </w:rPr>
        <w:t xml:space="preserve"> </w:t>
      </w:r>
      <w:r w:rsidR="00926996" w:rsidRPr="009F4AE8">
        <w:rPr>
          <w:rFonts w:cs="Arial"/>
          <w:vanish/>
          <w:color w:val="0070C0"/>
          <w:lang w:val="fr-CA"/>
        </w:rPr>
        <w:t>portes articulées.</w:t>
      </w:r>
    </w:p>
    <w:p w14:paraId="709A70D8"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709A70D9"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Prenez note de ce qui suit en utilisant cette section :</w:t>
      </w:r>
    </w:p>
    <w:p w14:paraId="709A70DA"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B"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Des liens en hypertexte menant aux sites Web de fabricants ont été inclus après les noms des fabricants pour aider à la sélection des produits et effectuer des recherches. Les liens en hypertexte sont indiqués en texte de couleur bleue, p. ex. :</w:t>
      </w:r>
    </w:p>
    <w:p w14:paraId="709A70DC"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D"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fr-CA"/>
        </w:rPr>
        <w:t xml:space="preserve">www.acme.com  </w:t>
      </w:r>
    </w:p>
    <w:p w14:paraId="709A70DE"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DF"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Du texte facultatif exigeant une sélection par l’utilisateur est inclus entre crochets et montré en rouge, p. ex. : </w:t>
      </w:r>
      <w:r w:rsidRPr="009F4AE8">
        <w:rPr>
          <w:rFonts w:ascii="WP TypographicSymbols" w:hAnsi="WP TypographicSymbols" w:cs="Arial"/>
          <w:vanish/>
          <w:color w:val="0070C0"/>
          <w:lang w:val="fr-CA"/>
        </w:rPr>
        <w:sym w:font="WP TypographicSymbols" w:char="F041"/>
      </w:r>
      <w:r w:rsidRPr="009F4AE8">
        <w:rPr>
          <w:rFonts w:cs="Arial"/>
          <w:vanish/>
          <w:color w:val="0070C0"/>
          <w:lang w:val="fr-CA"/>
        </w:rPr>
        <w:t>Couleur </w:t>
      </w:r>
      <w:proofErr w:type="gramStart"/>
      <w:r w:rsidRPr="009F4AE8">
        <w:rPr>
          <w:rFonts w:cs="Arial"/>
          <w:vanish/>
          <w:color w:val="0070C0"/>
          <w:lang w:val="fr-CA"/>
        </w:rPr>
        <w:t xml:space="preserve">:  </w:t>
      </w:r>
      <w:r w:rsidRPr="007C6FB7">
        <w:rPr>
          <w:rFonts w:cs="Arial"/>
          <w:vanish/>
          <w:color w:val="FF0000"/>
          <w:lang w:val="fr-CA"/>
        </w:rPr>
        <w:t>«</w:t>
      </w:r>
      <w:proofErr w:type="gramEnd"/>
      <w:r w:rsidRPr="007C6FB7">
        <w:rPr>
          <w:rFonts w:cs="Arial"/>
          <w:vanish/>
          <w:color w:val="FF0000"/>
          <w:lang w:val="fr-CA"/>
        </w:rPr>
        <w:t> [Rouge.] [Noir.]</w:t>
      </w:r>
      <w:r w:rsidRPr="009F4AE8">
        <w:rPr>
          <w:rFonts w:cs="Arial"/>
          <w:vanish/>
          <w:color w:val="0070C0"/>
          <w:lang w:val="fr-CA"/>
        </w:rPr>
        <w:t> »</w:t>
      </w:r>
    </w:p>
    <w:p w14:paraId="709A70E0"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1"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fr-CA"/>
        </w:rPr>
        <w:t xml:space="preserve">Les éléments exigeant la saisie par l’utilisateur sont inclus entre crochets et indiqués en rouge, p. ex. : « Section </w:t>
      </w:r>
      <w:r w:rsidRPr="007C6FB7">
        <w:rPr>
          <w:rFonts w:cs="Arial"/>
          <w:vanish/>
          <w:color w:val="FF0000"/>
          <w:lang w:val="fr-CA"/>
        </w:rPr>
        <w:t>[__ __ __ - ________]</w:t>
      </w:r>
      <w:r w:rsidRPr="009F4AE8">
        <w:rPr>
          <w:rFonts w:cs="Arial"/>
          <w:vanish/>
          <w:color w:val="0070C0"/>
          <w:lang w:val="fr-CA"/>
        </w:rPr>
        <w:t>. »</w:t>
      </w:r>
    </w:p>
    <w:p w14:paraId="709A70E2"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3"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4"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fr-CA"/>
        </w:rPr>
        <w:t xml:space="preserve">Pour une assistance sur l’utilisateur des produits dans cette section, contactez un architecte spécialiste LiftMaster en appelant au 800 282-6225 ou en visitant leur site Web à </w:t>
      </w:r>
      <w:hyperlink w:history="1">
        <w:r w:rsidR="00C57908" w:rsidRPr="00CC65FF">
          <w:rPr>
            <w:rStyle w:val="Hyperlink"/>
            <w:rFonts w:cs="Arial"/>
            <w:vanish/>
            <w:lang w:val="fr-CA"/>
          </w:rPr>
          <w:t>www.LiftMaster.com</w:t>
        </w:r>
      </w:hyperlink>
      <w:r w:rsidR="005E305B" w:rsidRPr="009F4AE8">
        <w:rPr>
          <w:rFonts w:cs="Arial"/>
          <w:vanish/>
          <w:color w:val="0070C0"/>
          <w:lang w:val="fr-CA"/>
        </w:rPr>
        <w:t xml:space="preserve">. </w:t>
      </w:r>
    </w:p>
    <w:p w14:paraId="709A70E5" w14:textId="77777777" w:rsidR="00AF6188" w:rsidRPr="009F4AE8"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09A70E6" w14:textId="77777777" w:rsidR="00AF6188" w:rsidRPr="009F4AE8" w:rsidRDefault="003008D4"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fr-CA"/>
        </w:rPr>
        <w:t xml:space="preserve">Cette spécification a été préparée selon les modèles de spécification SimpleSpecs™. Le système de spécification </w:t>
      </w:r>
      <w:proofErr w:type="gramStart"/>
      <w:r w:rsidRPr="009F4AE8">
        <w:rPr>
          <w:rFonts w:cs="Arial"/>
          <w:vanish/>
          <w:color w:val="0070C0"/>
          <w:lang w:val="fr-CA"/>
        </w:rPr>
        <w:t>guide</w:t>
      </w:r>
      <w:proofErr w:type="gramEnd"/>
      <w:r w:rsidRPr="009F4AE8">
        <w:rPr>
          <w:rFonts w:cs="Arial"/>
          <w:vanish/>
          <w:color w:val="0070C0"/>
          <w:lang w:val="fr-CA"/>
        </w:rPr>
        <w:t xml:space="preserve"> maîtresse SimpleSpecs™ comprend une spécification architecturale maîtresse qui peut être utilisée pour préciser toutes les exigences de projet. Pour de l’information supplémentaire sur les produits SimpleSpecs™, rendez-vous sur le site Web à </w:t>
      </w:r>
      <w:hyperlink w:history="1">
        <w:r w:rsidRPr="009F4AE8">
          <w:rPr>
            <w:rStyle w:val="Hyperlink"/>
            <w:rFonts w:cs="Arial"/>
            <w:vanish/>
            <w:color w:val="0070C0"/>
            <w:u w:val="none"/>
            <w:lang w:val="fr-CA"/>
          </w:rPr>
          <w:t>www.zerodocs.com</w:t>
        </w:r>
      </w:hyperlink>
      <w:r w:rsidRPr="009F4AE8">
        <w:rPr>
          <w:rFonts w:cs="Arial"/>
          <w:vanish/>
          <w:color w:val="0070C0"/>
          <w:lang w:val="fr-CA"/>
        </w:rPr>
        <w:t xml:space="preserve">. </w:t>
      </w:r>
    </w:p>
    <w:bookmarkEnd w:id="0"/>
    <w:p w14:paraId="709A70E7" w14:textId="77777777" w:rsidR="00070E06" w:rsidRPr="009F4AE8"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709A70E8" w14:textId="77777777" w:rsidR="00077508" w:rsidRPr="00214EE7" w:rsidRDefault="003008D4" w:rsidP="00554CEC">
      <w:pPr>
        <w:rPr>
          <w:rFonts w:cs="Arial"/>
          <w:b/>
          <w:bCs/>
        </w:rPr>
      </w:pPr>
      <w:r w:rsidRPr="00214EE7">
        <w:rPr>
          <w:rFonts w:cs="Arial"/>
          <w:b/>
          <w:bCs/>
        </w:rPr>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fr-CA"/>
        </w:rPr>
        <w:t>SECTION 08 71 23 – ACTIONNEURS COMMERCIAUX DE PORTE</w:t>
      </w:r>
    </w:p>
    <w:p w14:paraId="709A70E9"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09A70EA" w14:textId="77777777" w:rsidR="00336C2B" w:rsidRPr="00214EE7" w:rsidRDefault="003008D4" w:rsidP="00823BD1">
      <w:pPr>
        <w:pStyle w:val="Level1"/>
      </w:pPr>
      <w:r w:rsidRPr="00214EE7">
        <w:rPr>
          <w:bCs/>
          <w:lang w:val="fr-CA"/>
        </w:rPr>
        <w:tab/>
        <w:t>GÉNÉRALITÉS</w:t>
      </w:r>
    </w:p>
    <w:p w14:paraId="709A70EB" w14:textId="77777777" w:rsidR="00077508" w:rsidRPr="00214EE7" w:rsidRDefault="00077508" w:rsidP="00823BD1"/>
    <w:p w14:paraId="709A70EC" w14:textId="77777777" w:rsidR="00077508" w:rsidRPr="00214EE7" w:rsidRDefault="003008D4" w:rsidP="00823BD1">
      <w:pPr>
        <w:pStyle w:val="Level2"/>
      </w:pPr>
      <w:r w:rsidRPr="00214EE7">
        <w:rPr>
          <w:lang w:val="fr-CA"/>
        </w:rPr>
        <w:tab/>
        <w:t>SOUMISSIONS</w:t>
      </w:r>
    </w:p>
    <w:p w14:paraId="709A70ED" w14:textId="77777777" w:rsidR="00077508" w:rsidRPr="00214EE7" w:rsidRDefault="003008D4" w:rsidP="00823BD1">
      <w:r w:rsidRPr="00214EE7">
        <w:rPr>
          <w:lang w:val="fr-CA"/>
        </w:rPr>
        <w:t xml:space="preserve"> </w:t>
      </w:r>
    </w:p>
    <w:p w14:paraId="709A70EE" w14:textId="77777777" w:rsidR="00077508" w:rsidRPr="00214EE7" w:rsidRDefault="003008D4" w:rsidP="00823BD1">
      <w:pPr>
        <w:pStyle w:val="Level3"/>
      </w:pPr>
      <w:r w:rsidRPr="00214EE7">
        <w:rPr>
          <w:lang w:val="fr-CA"/>
        </w:rPr>
        <w:tab/>
        <w:t>Soumissions d’action :</w:t>
      </w:r>
    </w:p>
    <w:p w14:paraId="709A70EF" w14:textId="77777777" w:rsidR="00077508" w:rsidRPr="00214EE7" w:rsidRDefault="003008D4" w:rsidP="007729AC">
      <w:pPr>
        <w:pStyle w:val="Level4"/>
      </w:pPr>
      <w:r w:rsidRPr="00214EE7">
        <w:rPr>
          <w:lang w:val="fr-CA"/>
        </w:rPr>
        <w:tab/>
        <w:t>Données de produit : Données descriptives du fabricant et attributs de produit.</w:t>
      </w:r>
    </w:p>
    <w:p w14:paraId="709A70F0" w14:textId="77777777" w:rsidR="00077508" w:rsidRPr="00214EE7" w:rsidRDefault="00077508" w:rsidP="00823BD1"/>
    <w:p w14:paraId="709A70F1" w14:textId="77777777" w:rsidR="00077508" w:rsidRPr="00214EE7" w:rsidRDefault="003008D4" w:rsidP="00823BD1">
      <w:pPr>
        <w:pStyle w:val="Level3"/>
      </w:pPr>
      <w:r w:rsidRPr="00214EE7">
        <w:rPr>
          <w:lang w:val="fr-CA"/>
        </w:rPr>
        <w:tab/>
        <w:t>Soumissions de clôture :</w:t>
      </w:r>
    </w:p>
    <w:p w14:paraId="709A70F2" w14:textId="77777777" w:rsidR="00077508" w:rsidRPr="00214EE7" w:rsidRDefault="003008D4" w:rsidP="00823BD1">
      <w:pPr>
        <w:pStyle w:val="Level4"/>
      </w:pPr>
      <w:r w:rsidRPr="00214EE7">
        <w:rPr>
          <w:lang w:val="fr-CA"/>
        </w:rPr>
        <w:tab/>
        <w:t>Données de service et d’entretien.</w:t>
      </w:r>
    </w:p>
    <w:p w14:paraId="709A70F3" w14:textId="77777777" w:rsidR="00077508" w:rsidRPr="00214EE7" w:rsidRDefault="00077508" w:rsidP="00823BD1">
      <w:bookmarkStart w:id="1" w:name="_Hlk37778670"/>
    </w:p>
    <w:p w14:paraId="709A70F4" w14:textId="77777777" w:rsidR="00077508" w:rsidRPr="00214EE7" w:rsidRDefault="003008D4" w:rsidP="00823BD1">
      <w:pPr>
        <w:pStyle w:val="Level2"/>
      </w:pPr>
      <w:r w:rsidRPr="00214EE7">
        <w:rPr>
          <w:lang w:val="fr-CA"/>
        </w:rPr>
        <w:tab/>
        <w:t>ASSURANCE DE LA QUALITÉ</w:t>
      </w:r>
    </w:p>
    <w:p w14:paraId="709A70F5" w14:textId="77777777" w:rsidR="00077508" w:rsidRPr="00214EE7" w:rsidRDefault="00077508" w:rsidP="00823BD1"/>
    <w:p w14:paraId="709A70F6" w14:textId="77777777" w:rsidR="00077508" w:rsidRPr="00214EE7" w:rsidRDefault="003008D4" w:rsidP="007729AC">
      <w:pPr>
        <w:pStyle w:val="Level3"/>
      </w:pPr>
      <w:r w:rsidRPr="00214EE7">
        <w:rPr>
          <w:lang w:val="fr-CA"/>
        </w:rPr>
        <w:tab/>
        <w:t xml:space="preserve">Compétences de l’installateur : Entreprise spécialisée dans le travail de cette section, comptant au minimum </w:t>
      </w:r>
      <w:r w:rsidRPr="00214EE7">
        <w:rPr>
          <w:color w:val="FF0000"/>
          <w:lang w:val="fr-CA"/>
        </w:rPr>
        <w:t>[2] [__]</w:t>
      </w:r>
      <w:r w:rsidRPr="00214EE7">
        <w:rPr>
          <w:lang w:val="fr-CA"/>
        </w:rPr>
        <w:t xml:space="preserve"> année(s) d’expérience.</w:t>
      </w:r>
    </w:p>
    <w:bookmarkEnd w:id="1"/>
    <w:p w14:paraId="709A70F7" w14:textId="77777777" w:rsidR="00077508" w:rsidRPr="00214EE7" w:rsidRDefault="00077508" w:rsidP="00823BD1"/>
    <w:p w14:paraId="709A70F8" w14:textId="77777777" w:rsidR="00077508" w:rsidRPr="00214EE7" w:rsidRDefault="003008D4" w:rsidP="00823BD1">
      <w:pPr>
        <w:pStyle w:val="Level2"/>
      </w:pPr>
      <w:r w:rsidRPr="00214EE7">
        <w:rPr>
          <w:lang w:val="fr-CA"/>
        </w:rPr>
        <w:tab/>
        <w:t>GARANTIE</w:t>
      </w:r>
    </w:p>
    <w:p w14:paraId="709A70F9" w14:textId="77777777" w:rsidR="00077508" w:rsidRDefault="00077508" w:rsidP="00823BD1"/>
    <w:p w14:paraId="709A70FA" w14:textId="77777777" w:rsidR="00221853" w:rsidRPr="00221853" w:rsidRDefault="003008D4" w:rsidP="00823BD1">
      <w:pPr>
        <w:rPr>
          <w:rFonts w:cs="Arial"/>
          <w:color w:val="0070C0"/>
        </w:rPr>
      </w:pPr>
      <w:r w:rsidRPr="00221853">
        <w:rPr>
          <w:rFonts w:cs="Arial"/>
          <w:vanish/>
          <w:color w:val="0070C0"/>
          <w:lang w:val="fr-CA"/>
        </w:rPr>
        <w:t>Le modèle ATSW est assorti d’une garantie de 1 an. Tous les autres modèles sont assortis d’une garantie de 2 ans.</w:t>
      </w:r>
    </w:p>
    <w:p w14:paraId="709A70FB" w14:textId="77777777" w:rsidR="00221853" w:rsidRPr="00221853" w:rsidRDefault="00221853" w:rsidP="00823BD1">
      <w:pPr>
        <w:rPr>
          <w:rFonts w:cs="Arial"/>
          <w:color w:val="0070C0"/>
        </w:rPr>
      </w:pPr>
    </w:p>
    <w:p w14:paraId="709A70FC" w14:textId="77777777" w:rsidR="00077508" w:rsidRPr="00214EE7" w:rsidRDefault="003008D4" w:rsidP="00823BD1">
      <w:pPr>
        <w:pStyle w:val="Level3"/>
      </w:pPr>
      <w:r w:rsidRPr="00214EE7">
        <w:rPr>
          <w:lang w:val="fr-CA"/>
        </w:rPr>
        <w:lastRenderedPageBreak/>
        <w:tab/>
        <w:t xml:space="preserve">Garantie du fabricant de </w:t>
      </w:r>
      <w:r w:rsidR="00221853" w:rsidRPr="00221853">
        <w:rPr>
          <w:color w:val="FF0000"/>
          <w:lang w:val="fr-CA"/>
        </w:rPr>
        <w:t>[1] [2]</w:t>
      </w:r>
      <w:r w:rsidRPr="00214EE7">
        <w:rPr>
          <w:lang w:val="fr-CA"/>
        </w:rPr>
        <w:t xml:space="preserve"> an(s) contre tout défaut matériel ou de fabrication.</w:t>
      </w:r>
    </w:p>
    <w:p w14:paraId="709A70FD" w14:textId="77777777" w:rsidR="00077508" w:rsidRPr="00214EE7" w:rsidRDefault="00077508" w:rsidP="00823BD1"/>
    <w:p w14:paraId="709A70FE" w14:textId="77777777" w:rsidR="00077508" w:rsidRPr="00214EE7" w:rsidRDefault="003008D4" w:rsidP="00823BD1">
      <w:pPr>
        <w:pStyle w:val="Level1"/>
      </w:pPr>
      <w:r w:rsidRPr="00214EE7">
        <w:rPr>
          <w:bCs/>
          <w:lang w:val="fr-CA"/>
        </w:rPr>
        <w:tab/>
        <w:t>PRODUITS</w:t>
      </w:r>
    </w:p>
    <w:p w14:paraId="709A70FF" w14:textId="77777777" w:rsidR="00077508" w:rsidRPr="00214EE7" w:rsidRDefault="00077508" w:rsidP="00823BD1"/>
    <w:p w14:paraId="709A7100" w14:textId="77777777" w:rsidR="00077508" w:rsidRPr="00214EE7" w:rsidRDefault="003008D4" w:rsidP="00823BD1">
      <w:pPr>
        <w:pStyle w:val="Level2"/>
      </w:pPr>
      <w:r w:rsidRPr="00214EE7">
        <w:rPr>
          <w:lang w:val="fr-CA"/>
        </w:rPr>
        <w:tab/>
        <w:t>FABRICANTS</w:t>
      </w:r>
    </w:p>
    <w:p w14:paraId="709A7101" w14:textId="77777777" w:rsidR="00077508" w:rsidRPr="00214EE7" w:rsidRDefault="00077508" w:rsidP="00823BD1"/>
    <w:p w14:paraId="709A7102" w14:textId="77777777" w:rsidR="00077508" w:rsidRPr="00214EE7" w:rsidRDefault="003008D4" w:rsidP="00823BD1">
      <w:pPr>
        <w:pStyle w:val="Level3"/>
      </w:pPr>
      <w:r w:rsidRPr="00214EE7">
        <w:rPr>
          <w:lang w:val="fr-CA"/>
        </w:rPr>
        <w:tab/>
        <w:t xml:space="preserve">Les documents contractuels sont basés sur les produits de LiftMaster. </w:t>
      </w:r>
      <w:hyperlink r:id="rId7" w:history="1">
        <w:r w:rsidR="00C57908" w:rsidRPr="00CC65FF">
          <w:rPr>
            <w:rStyle w:val="Hyperlink"/>
            <w:rFonts w:cs="Arial"/>
            <w:lang w:val="fr-CA"/>
          </w:rPr>
          <w:t>www.LiftMaster.com</w:t>
        </w:r>
      </w:hyperlink>
      <w:r w:rsidRPr="00214EE7">
        <w:rPr>
          <w:lang w:val="fr-CA"/>
        </w:rPr>
        <w:t xml:space="preserve"> </w:t>
      </w:r>
    </w:p>
    <w:p w14:paraId="709A7103" w14:textId="77777777" w:rsidR="00077508" w:rsidRPr="00214EE7" w:rsidRDefault="00077508" w:rsidP="00AF6188">
      <w:pPr>
        <w:pStyle w:val="Level4"/>
        <w:numPr>
          <w:ilvl w:val="0"/>
          <w:numId w:val="0"/>
        </w:numPr>
      </w:pPr>
    </w:p>
    <w:p w14:paraId="709A7104" w14:textId="77777777" w:rsidR="00077508" w:rsidRPr="00214EE7" w:rsidRDefault="003008D4" w:rsidP="005F0659">
      <w:pPr>
        <w:pStyle w:val="Level3"/>
      </w:pPr>
      <w:r w:rsidRPr="00214EE7">
        <w:rPr>
          <w:lang w:val="fr-CA"/>
        </w:rPr>
        <w:tab/>
        <w:t xml:space="preserve">Substitutions : </w:t>
      </w:r>
      <w:r w:rsidR="001E59CA" w:rsidRPr="00214EE7">
        <w:rPr>
          <w:color w:val="FF0000"/>
          <w:lang w:val="fr-CA"/>
        </w:rPr>
        <w:t>[Consulter la Division 01.] [Non permises.]</w:t>
      </w:r>
    </w:p>
    <w:p w14:paraId="709A7105" w14:textId="77777777" w:rsidR="00077508" w:rsidRPr="00214EE7" w:rsidRDefault="00077508" w:rsidP="00823BD1"/>
    <w:p w14:paraId="709A7106" w14:textId="77777777" w:rsidR="00077508" w:rsidRPr="00214EE7" w:rsidRDefault="003008D4" w:rsidP="005F0659">
      <w:pPr>
        <w:pStyle w:val="Level2"/>
      </w:pPr>
      <w:r w:rsidRPr="00214EE7">
        <w:rPr>
          <w:lang w:val="fr-CA"/>
        </w:rPr>
        <w:tab/>
        <w:t>UNITÉS FABRIQUÉES</w:t>
      </w:r>
    </w:p>
    <w:p w14:paraId="709A7107" w14:textId="77777777" w:rsidR="002603AF" w:rsidRPr="0041052E" w:rsidRDefault="002603AF" w:rsidP="002603AF">
      <w:pPr>
        <w:rPr>
          <w:rFonts w:cs="Arial"/>
          <w:color w:val="0070C0"/>
        </w:rPr>
      </w:pPr>
    </w:p>
    <w:p w14:paraId="709A7108" w14:textId="77777777" w:rsidR="002603AF" w:rsidRPr="009F4AE8" w:rsidRDefault="003008D4" w:rsidP="002603AF">
      <w:pPr>
        <w:rPr>
          <w:rFonts w:cs="Arial"/>
          <w:color w:val="0070C0"/>
        </w:rPr>
      </w:pPr>
      <w:r w:rsidRPr="009F4AE8">
        <w:rPr>
          <w:rFonts w:cs="Arial"/>
          <w:vanish/>
          <w:color w:val="0070C0"/>
          <w:lang w:val="fr-CA"/>
        </w:rPr>
        <w:t>Les enceintes NEMA sont homologuées comme suit :</w:t>
      </w:r>
    </w:p>
    <w:p w14:paraId="709A7109" w14:textId="77777777" w:rsidR="002603AF" w:rsidRPr="009F4AE8" w:rsidRDefault="002603AF" w:rsidP="002603AF">
      <w:pPr>
        <w:rPr>
          <w:rFonts w:cs="Arial"/>
          <w:color w:val="0070C0"/>
        </w:rPr>
      </w:pPr>
    </w:p>
    <w:p w14:paraId="709A710A"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1 : Installation intérieure, où il n’est pas nécessaire d’assurer une étanchéité contre la poussière, l’huile et l’eau (comme dans la plupart des entrepôts).</w:t>
      </w:r>
    </w:p>
    <w:p w14:paraId="709A710B" w14:textId="77777777" w:rsidR="002603AF" w:rsidRPr="009F4AE8" w:rsidRDefault="002603AF" w:rsidP="002603AF">
      <w:pPr>
        <w:rPr>
          <w:rFonts w:cs="Arial"/>
          <w:color w:val="0070C0"/>
        </w:rPr>
      </w:pPr>
    </w:p>
    <w:p w14:paraId="709A710C"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 : Installation intérieure pour protéger l’actionneur là où de l’eau sous pression peut être utilisée, où d’autres activités impliquant des lavages ou l’utilisation de liquide de refroidissement pour outil de coupe, ou extérieure où une protection contre la pluie, la pluie verglaçante ou la neige peut s’avérer nécessaire (comme dans les lave-autos).</w:t>
      </w:r>
    </w:p>
    <w:p w14:paraId="709A710D" w14:textId="77777777" w:rsidR="002603AF" w:rsidRPr="009F4AE8" w:rsidRDefault="002603AF" w:rsidP="002603AF">
      <w:pPr>
        <w:rPr>
          <w:rFonts w:cs="Arial"/>
          <w:color w:val="0070C0"/>
        </w:rPr>
      </w:pPr>
    </w:p>
    <w:p w14:paraId="709A710E" w14:textId="77777777" w:rsidR="002603AF" w:rsidRPr="009F4AE8" w:rsidRDefault="003008D4" w:rsidP="002603AF">
      <w:pPr>
        <w:pStyle w:val="ListParagraph"/>
        <w:numPr>
          <w:ilvl w:val="0"/>
          <w:numId w:val="6"/>
        </w:numPr>
        <w:rPr>
          <w:rFonts w:cs="Arial"/>
          <w:color w:val="0070C0"/>
        </w:rPr>
      </w:pPr>
      <w:r w:rsidRPr="009F4AE8">
        <w:rPr>
          <w:rFonts w:cs="Arial"/>
          <w:vanish/>
          <w:color w:val="0070C0"/>
          <w:lang w:val="fr-CA"/>
        </w:rPr>
        <w:t>NEMA 4X : En plus de ce qui est exigé dans NEMA 4; pour protéger contre les environnements rigoureux, ou là où des nettoyants caustiques, des désinfectants ou des matières corrosives sont largement utilisés et de façon répétée (comme dans les piscines intérieures).</w:t>
      </w:r>
    </w:p>
    <w:p w14:paraId="709A710F" w14:textId="77777777" w:rsidR="002603AF" w:rsidRPr="009F4AE8" w:rsidRDefault="002603AF" w:rsidP="002603AF">
      <w:pPr>
        <w:rPr>
          <w:rFonts w:cs="Arial"/>
          <w:color w:val="0070C0"/>
        </w:rPr>
      </w:pPr>
    </w:p>
    <w:p w14:paraId="709A7110" w14:textId="77777777" w:rsidR="002603AF" w:rsidRPr="009F4AE8" w:rsidRDefault="003008D4" w:rsidP="002603AF">
      <w:pPr>
        <w:pStyle w:val="ListParagraph"/>
        <w:numPr>
          <w:ilvl w:val="0"/>
          <w:numId w:val="5"/>
        </w:numPr>
        <w:rPr>
          <w:rFonts w:cs="Arial"/>
          <w:color w:val="0070C0"/>
        </w:rPr>
      </w:pPr>
      <w:r w:rsidRPr="009F4AE8">
        <w:rPr>
          <w:rFonts w:cs="Arial"/>
          <w:vanish/>
          <w:color w:val="0070C0"/>
          <w:lang w:val="fr-CA"/>
        </w:rPr>
        <w:t>NEMA 7/9 : Pour protéger contre des matières, des vapeurs ou des gaz explosifs.</w:t>
      </w:r>
    </w:p>
    <w:p w14:paraId="709A7111" w14:textId="77777777" w:rsidR="00077508" w:rsidRPr="009F4AE8" w:rsidRDefault="00077508" w:rsidP="00823BD1">
      <w:pPr>
        <w:rPr>
          <w:rFonts w:cs="Arial"/>
          <w:color w:val="0070C0"/>
        </w:rPr>
      </w:pPr>
    </w:p>
    <w:p w14:paraId="709A727E" w14:textId="77777777" w:rsidR="004E1A25" w:rsidRPr="00214EE7" w:rsidRDefault="004E1A25" w:rsidP="004E1A25"/>
    <w:p w14:paraId="709A727F" w14:textId="77777777" w:rsidR="004E1A25" w:rsidRPr="009F4AE8" w:rsidRDefault="003008D4" w:rsidP="004E1A25">
      <w:pPr>
        <w:rPr>
          <w:rFonts w:cs="Arial"/>
          <w:color w:val="0070C0"/>
        </w:rPr>
      </w:pPr>
      <w:r w:rsidRPr="009F4AE8">
        <w:rPr>
          <w:rFonts w:cs="Arial"/>
          <w:vanish/>
          <w:color w:val="0070C0"/>
          <w:lang w:val="fr-CA"/>
        </w:rPr>
        <w:t>Retenir ce qui suit pour un actionneur de type à arbre intermédiaire, de service léger pour portes articulées à levage élevé ou vertical avec assemblages à torsion, mesurant jusqu’à 4,27 m (14 pi) de hauteur ou 5,48 m (18 pi) de largeur, maximum de 180 pieds carrés, pesant au maximum 136 kg (300 lb)</w:t>
      </w:r>
    </w:p>
    <w:p w14:paraId="709A7280" w14:textId="77777777" w:rsidR="004E1A25" w:rsidRPr="009F4AE8" w:rsidRDefault="004E1A25" w:rsidP="004E1A25">
      <w:pPr>
        <w:pStyle w:val="SpecPara4"/>
        <w:numPr>
          <w:ilvl w:val="0"/>
          <w:numId w:val="0"/>
        </w:numPr>
        <w:rPr>
          <w:rFonts w:cs="Arial"/>
          <w:color w:val="0070C0"/>
        </w:rPr>
      </w:pPr>
    </w:p>
    <w:p w14:paraId="709A7281" w14:textId="77777777" w:rsidR="004E1A25" w:rsidRPr="00214EE7" w:rsidRDefault="003008D4" w:rsidP="004E1A25">
      <w:pPr>
        <w:pStyle w:val="Level3"/>
      </w:pPr>
      <w:r w:rsidRPr="00214EE7">
        <w:rPr>
          <w:lang w:val="fr-CA"/>
        </w:rPr>
        <w:tab/>
        <w:t>Actionneurs de porte :</w:t>
      </w:r>
    </w:p>
    <w:p w14:paraId="709A7282" w14:textId="77777777" w:rsidR="004E1A25" w:rsidRPr="00214EE7" w:rsidRDefault="003008D4" w:rsidP="004E1A25">
      <w:pPr>
        <w:pStyle w:val="Level4"/>
      </w:pPr>
      <w:r w:rsidRPr="00214EE7">
        <w:rPr>
          <w:lang w:val="fr-CA"/>
        </w:rPr>
        <w:tab/>
        <w:t>Modèle : DDO8900W.</w:t>
      </w:r>
    </w:p>
    <w:p w14:paraId="709A7283" w14:textId="77777777" w:rsidR="004E1A25" w:rsidRPr="00214EE7" w:rsidRDefault="003008D4" w:rsidP="004E1A25">
      <w:pPr>
        <w:pStyle w:val="Level4"/>
      </w:pPr>
      <w:r w:rsidRPr="00214EE7">
        <w:rPr>
          <w:lang w:val="fr-CA"/>
        </w:rPr>
        <w:t xml:space="preserve"> </w:t>
      </w:r>
      <w:r w:rsidRPr="00214EE7">
        <w:rPr>
          <w:lang w:val="fr-CA"/>
        </w:rPr>
        <w:tab/>
        <w:t>Fonctionnement : Arbre intermédiaire.</w:t>
      </w:r>
    </w:p>
    <w:p w14:paraId="709A7284" w14:textId="77777777" w:rsidR="004E1A25" w:rsidRPr="00214EE7" w:rsidRDefault="003008D4" w:rsidP="004E1A25">
      <w:pPr>
        <w:pStyle w:val="Level4"/>
      </w:pPr>
      <w:r w:rsidRPr="00214EE7">
        <w:rPr>
          <w:lang w:val="fr-CA"/>
        </w:rPr>
        <w:tab/>
        <w:t>Montage : Mur.</w:t>
      </w:r>
    </w:p>
    <w:p w14:paraId="709A7285" w14:textId="77777777" w:rsidR="004E1A25" w:rsidRPr="00214EE7" w:rsidRDefault="003008D4" w:rsidP="004E1A25">
      <w:pPr>
        <w:pStyle w:val="Level4"/>
        <w:rPr>
          <w:rFonts w:cs="Arial"/>
        </w:rPr>
      </w:pPr>
      <w:r w:rsidRPr="00214EE7">
        <w:rPr>
          <w:rFonts w:cs="Arial"/>
          <w:lang w:val="fr-CA"/>
        </w:rPr>
        <w:tab/>
        <w:t xml:space="preserve">Cycle de service nominal : </w:t>
      </w:r>
      <w:r w:rsidRPr="00214EE7">
        <w:rPr>
          <w:rFonts w:cs="Arial"/>
          <w:color w:val="485153"/>
          <w:shd w:val="clear" w:color="auto" w:fill="FFFFFF"/>
          <w:lang w:val="fr-CA"/>
        </w:rPr>
        <w:t>Maximum de 10 cycles par heure et 25 cycles par jour</w:t>
      </w:r>
      <w:r w:rsidRPr="00214EE7">
        <w:rPr>
          <w:rFonts w:cs="Arial"/>
          <w:lang w:val="fr-CA"/>
        </w:rPr>
        <w:t>.</w:t>
      </w:r>
    </w:p>
    <w:p w14:paraId="709A7286" w14:textId="77777777" w:rsidR="004E1A25" w:rsidRPr="00214EE7" w:rsidRDefault="003008D4" w:rsidP="004E1A25">
      <w:pPr>
        <w:pStyle w:val="Level4"/>
        <w:rPr>
          <w:rFonts w:cs="Arial"/>
        </w:rPr>
      </w:pPr>
      <w:r w:rsidRPr="00214EE7">
        <w:rPr>
          <w:rFonts w:cs="Arial"/>
          <w:lang w:val="fr-CA"/>
        </w:rPr>
        <w:t xml:space="preserve"> </w:t>
      </w:r>
      <w:r w:rsidRPr="00214EE7">
        <w:rPr>
          <w:rFonts w:cs="Arial"/>
          <w:lang w:val="fr-CA"/>
        </w:rPr>
        <w:tab/>
        <w:t>Répond à la norme UL 325.</w:t>
      </w:r>
    </w:p>
    <w:p w14:paraId="709A7287" w14:textId="77777777" w:rsidR="004E1A25" w:rsidRDefault="003008D4" w:rsidP="004E1A25">
      <w:pPr>
        <w:pStyle w:val="Level4"/>
      </w:pPr>
      <w:r w:rsidRPr="00214EE7">
        <w:rPr>
          <w:lang w:val="fr-CA"/>
        </w:rPr>
        <w:tab/>
        <w:t>Moteur : 12 V c. c., précâblé, homologué par Underwriters Laboratories, de taille adaptée aux conditions de la porte.</w:t>
      </w:r>
    </w:p>
    <w:p w14:paraId="709A7288" w14:textId="77777777" w:rsidR="004E1A25" w:rsidRPr="00413F1A" w:rsidRDefault="003008D4" w:rsidP="004E1A25">
      <w:pPr>
        <w:pStyle w:val="Level4"/>
        <w:rPr>
          <w:rFonts w:cs="Arial"/>
        </w:rPr>
      </w:pPr>
      <w:r>
        <w:rPr>
          <w:rFonts w:cs="Arial"/>
          <w:lang w:val="fr-CA"/>
        </w:rPr>
        <w:t xml:space="preserve"> </w:t>
      </w:r>
      <w:r>
        <w:rPr>
          <w:rFonts w:cs="Arial"/>
          <w:lang w:val="fr-CA"/>
        </w:rPr>
        <w:tab/>
        <w:t>Enceinte : NEMA 1.</w:t>
      </w:r>
    </w:p>
    <w:p w14:paraId="709A7289" w14:textId="77777777" w:rsidR="004E1A25" w:rsidRPr="004509CA" w:rsidRDefault="003008D4" w:rsidP="004E1A25">
      <w:pPr>
        <w:pStyle w:val="Level4"/>
      </w:pPr>
      <w:r w:rsidRPr="00214EE7">
        <w:rPr>
          <w:lang w:val="fr-CA"/>
        </w:rPr>
        <w:t xml:space="preserve"> </w:t>
      </w:r>
      <w:r w:rsidRPr="00214EE7">
        <w:rPr>
          <w:lang w:val="fr-CA"/>
        </w:rPr>
        <w:tab/>
        <w:t xml:space="preserve">Récepteur radio : </w:t>
      </w:r>
      <w:r w:rsidRPr="004509CA">
        <w:rPr>
          <w:sz w:val="24"/>
          <w:szCs w:val="24"/>
          <w:lang w:val="en-CA"/>
        </w:rPr>
        <w:fldChar w:fldCharType="begin"/>
      </w:r>
      <w:r w:rsidRPr="004509CA">
        <w:rPr>
          <w:sz w:val="24"/>
          <w:szCs w:val="24"/>
          <w:lang w:val="en-CA"/>
        </w:rPr>
        <w:instrText xml:space="preserve"> SEQ CHAPTER \h \r 1</w:instrText>
      </w:r>
      <w:r w:rsidRPr="004509CA">
        <w:rPr>
          <w:sz w:val="24"/>
          <w:szCs w:val="24"/>
          <w:lang w:val="en-CA"/>
        </w:rPr>
        <w:fldChar w:fldCharType="end"/>
      </w:r>
      <w:r w:rsidRPr="00214EE7">
        <w:rPr>
          <w:lang w:val="fr-CA"/>
        </w:rPr>
        <w:t xml:space="preserve">Logic 5.0 embarqué; Accepte les télécommandes sans code fixe Security+ et les télécommandes à commutateur DIP ternaire. </w:t>
      </w:r>
    </w:p>
    <w:p w14:paraId="709A728A" w14:textId="77777777" w:rsidR="004E1A25" w:rsidRPr="004509CA" w:rsidRDefault="003008D4" w:rsidP="004E1A25">
      <w:pPr>
        <w:pStyle w:val="Level4"/>
      </w:pPr>
      <w:r w:rsidRPr="004509CA">
        <w:rPr>
          <w:lang w:val="fr-CA"/>
        </w:rPr>
        <w:t xml:space="preserve"> </w:t>
      </w:r>
      <w:r w:rsidRPr="004509CA">
        <w:rPr>
          <w:lang w:val="fr-CA"/>
        </w:rPr>
        <w:tab/>
        <w:t>Connectivité internet : Technologie myQ à 50 canaux FHSS.</w:t>
      </w:r>
    </w:p>
    <w:p w14:paraId="709A728B" w14:textId="77777777" w:rsidR="004E1A25" w:rsidRPr="009A198E" w:rsidRDefault="003008D4" w:rsidP="004E1A25">
      <w:pPr>
        <w:pStyle w:val="Level4"/>
        <w:rPr>
          <w:rFonts w:cs="Arial"/>
        </w:rPr>
      </w:pPr>
      <w:r w:rsidRPr="00214EE7">
        <w:rPr>
          <w:rFonts w:cs="Arial"/>
          <w:lang w:val="fr-CA"/>
        </w:rPr>
        <w:tab/>
        <w:t xml:space="preserve">Poste de commande : </w:t>
      </w:r>
      <w:r w:rsidRPr="002740B9">
        <w:rPr>
          <w:color w:val="FF0000"/>
          <w:lang w:val="fr-CA"/>
        </w:rPr>
        <w:t>[De type à trois boutons-poussoirs] [De type à clé à trois positions]</w:t>
      </w:r>
      <w:r w:rsidRPr="00214EE7">
        <w:rPr>
          <w:rFonts w:cs="Arial"/>
          <w:lang w:val="fr-CA"/>
        </w:rPr>
        <w:t xml:space="preserve"> dans une enceinte NEMA </w:t>
      </w:r>
      <w:r w:rsidRPr="002740B9">
        <w:rPr>
          <w:color w:val="FF0000"/>
          <w:lang w:val="fr-CA"/>
        </w:rPr>
        <w:t>[1] [4] [4X] [7/9]</w:t>
      </w:r>
      <w:r w:rsidRPr="00214EE7">
        <w:rPr>
          <w:rFonts w:cs="Arial"/>
          <w:lang w:val="fr-CA"/>
        </w:rPr>
        <w:t>.</w:t>
      </w:r>
    </w:p>
    <w:p w14:paraId="709A728C" w14:textId="77777777" w:rsidR="004E1A25" w:rsidRPr="004509CA" w:rsidRDefault="003008D4" w:rsidP="004E1A25">
      <w:pPr>
        <w:pStyle w:val="SpecPara4"/>
        <w:autoSpaceDE w:val="0"/>
        <w:autoSpaceDN w:val="0"/>
        <w:adjustRightInd w:val="0"/>
        <w:rPr>
          <w:rFonts w:cs="Arial"/>
        </w:rPr>
      </w:pPr>
      <w:r>
        <w:rPr>
          <w:rFonts w:cs="Arial"/>
          <w:lang w:val="fr-CA"/>
        </w:rPr>
        <w:tab/>
        <w:t xml:space="preserve">Télécommandes : </w:t>
      </w:r>
      <w:r w:rsidRPr="009A198E">
        <w:rPr>
          <w:color w:val="FF0000"/>
          <w:lang w:val="fr-CA"/>
        </w:rPr>
        <w:t xml:space="preserve">[Commutateur DIP à un bouton.] [Commutateur DIP à trois boutons.] [Security+ à 2 boutons.] [Security+ 2.0. </w:t>
      </w:r>
      <w:proofErr w:type="gramStart"/>
      <w:r w:rsidRPr="009A198E">
        <w:rPr>
          <w:color w:val="FF0000"/>
          <w:lang w:val="fr-CA"/>
        </w:rPr>
        <w:t>sans</w:t>
      </w:r>
      <w:proofErr w:type="gramEnd"/>
      <w:r w:rsidRPr="009A198E">
        <w:rPr>
          <w:color w:val="FF0000"/>
          <w:lang w:val="fr-CA"/>
        </w:rPr>
        <w:t xml:space="preserve"> code fixe à deux boutons.] [Security+ 2.0 sans code fixe à trois boutons.] [Security+ 2.0 sans code fixe à quatre boutons.]</w:t>
      </w:r>
    </w:p>
    <w:p w14:paraId="709A728D" w14:textId="77777777" w:rsidR="004E1A25" w:rsidRPr="004509CA" w:rsidRDefault="003008D4" w:rsidP="004E1A25">
      <w:pPr>
        <w:pStyle w:val="SpecPara4"/>
        <w:autoSpaceDE w:val="0"/>
        <w:autoSpaceDN w:val="0"/>
        <w:adjustRightInd w:val="0"/>
        <w:rPr>
          <w:rFonts w:cs="Arial"/>
        </w:rPr>
      </w:pPr>
      <w:r w:rsidRPr="004509CA">
        <w:rPr>
          <w:rFonts w:cs="Arial"/>
          <w:lang w:val="fr-CA"/>
        </w:rPr>
        <w:t xml:space="preserve"> </w:t>
      </w:r>
      <w:r w:rsidRPr="004509CA">
        <w:rPr>
          <w:rFonts w:cs="Arial"/>
          <w:lang w:val="fr-CA"/>
        </w:rPr>
        <w:tab/>
        <w:t xml:space="preserve">Dispositif primaire surveillé de protection contre le piégeage : </w:t>
      </w:r>
      <w:r w:rsidRPr="004509CA">
        <w:rPr>
          <w:rFonts w:cs="Arial"/>
          <w:color w:val="FF0000"/>
          <w:lang w:val="fr-CA"/>
        </w:rPr>
        <w:t xml:space="preserve">[Capteurs photoélectriques.] [Rideau de lumière.] </w:t>
      </w:r>
    </w:p>
    <w:p w14:paraId="709A728E" w14:textId="77777777" w:rsidR="004E1A25" w:rsidRPr="00214EE7" w:rsidRDefault="003008D4" w:rsidP="004E1A25">
      <w:pPr>
        <w:pStyle w:val="Level4"/>
      </w:pPr>
      <w:r w:rsidRPr="004509CA">
        <w:rPr>
          <w:lang w:val="fr-CA"/>
        </w:rPr>
        <w:tab/>
        <w:t xml:space="preserve">Dispositif non surveillé de protection contre le piégeage : </w:t>
      </w:r>
      <w:r w:rsidRPr="004509CA">
        <w:rPr>
          <w:rFonts w:cs="Arial"/>
          <w:color w:val="FF0000"/>
          <w:lang w:val="fr-CA"/>
        </w:rPr>
        <w:t>[Capteurs photoélectriques.] [Rideau de lumière.]</w:t>
      </w:r>
    </w:p>
    <w:p w14:paraId="709A728F" w14:textId="77777777" w:rsidR="004E1A25" w:rsidRPr="00214EE7" w:rsidRDefault="003008D4" w:rsidP="004E1A25">
      <w:pPr>
        <w:pStyle w:val="Level4"/>
      </w:pPr>
      <w:r w:rsidRPr="00214EE7">
        <w:rPr>
          <w:lang w:val="fr-CA"/>
        </w:rPr>
        <w:t xml:space="preserve"> </w:t>
      </w:r>
      <w:r w:rsidRPr="00214EE7">
        <w:rPr>
          <w:lang w:val="fr-CA"/>
        </w:rPr>
        <w:tab/>
        <w:t xml:space="preserve">Moniteur de tension de câble : La porte inverse sa course si un mou excessif a été détecté dans le câble. </w:t>
      </w:r>
    </w:p>
    <w:p w14:paraId="709A7290" w14:textId="77777777" w:rsidR="004E1A25" w:rsidRPr="009F4AE8" w:rsidRDefault="004E1A25" w:rsidP="004E1A25">
      <w:pPr>
        <w:pStyle w:val="SpecPara4"/>
        <w:numPr>
          <w:ilvl w:val="0"/>
          <w:numId w:val="0"/>
        </w:numPr>
        <w:rPr>
          <w:rFonts w:cs="Arial"/>
          <w:color w:val="0070C0"/>
        </w:rPr>
      </w:pPr>
    </w:p>
    <w:p w14:paraId="709A7291" w14:textId="77777777" w:rsidR="004E1A25" w:rsidRPr="009F4AE8" w:rsidRDefault="003008D4" w:rsidP="004E1A25">
      <w:pPr>
        <w:pStyle w:val="SpecPara4"/>
        <w:numPr>
          <w:ilvl w:val="0"/>
          <w:numId w:val="0"/>
        </w:numPr>
        <w:rPr>
          <w:rFonts w:cs="Arial"/>
          <w:color w:val="0070C0"/>
        </w:rPr>
      </w:pPr>
      <w:r w:rsidRPr="009F4AE8">
        <w:rPr>
          <w:rFonts w:cs="Arial"/>
          <w:vanish/>
          <w:color w:val="0070C0"/>
          <w:lang w:val="fr-CA"/>
        </w:rPr>
        <w:lastRenderedPageBreak/>
        <w:t>Les accessoires suivants sont offerts en option. Consultez la documentation technique LiftMaster pour une assistance dans le choix des accessoires.</w:t>
      </w:r>
    </w:p>
    <w:p w14:paraId="709A7292" w14:textId="77777777" w:rsidR="004E1A25" w:rsidRPr="009F4AE8" w:rsidRDefault="003008D4" w:rsidP="004E1A25">
      <w:pPr>
        <w:pStyle w:val="SpecPara4"/>
        <w:numPr>
          <w:ilvl w:val="0"/>
          <w:numId w:val="0"/>
        </w:numPr>
        <w:rPr>
          <w:rFonts w:cs="Arial"/>
          <w:color w:val="0070C0"/>
        </w:rPr>
      </w:pPr>
      <w:r w:rsidRPr="009F4AE8">
        <w:rPr>
          <w:rFonts w:cs="Arial"/>
          <w:vanish/>
          <w:color w:val="0070C0"/>
          <w:lang w:val="fr-CA"/>
        </w:rPr>
        <w:t xml:space="preserve"> </w:t>
      </w:r>
    </w:p>
    <w:p w14:paraId="709A7293" w14:textId="77777777" w:rsidR="004E1A25" w:rsidRPr="00214EE7" w:rsidRDefault="003008D4" w:rsidP="004E1A25">
      <w:pPr>
        <w:pStyle w:val="SpecPara4"/>
      </w:pPr>
      <w:r w:rsidRPr="00214EE7">
        <w:rPr>
          <w:lang w:val="fr-CA"/>
        </w:rPr>
        <w:t xml:space="preserve"> </w:t>
      </w:r>
      <w:r w:rsidRPr="00214EE7">
        <w:rPr>
          <w:lang w:val="fr-CA"/>
        </w:rPr>
        <w:tab/>
        <w:t>Serrure électrique automatique de porte.</w:t>
      </w:r>
    </w:p>
    <w:p w14:paraId="709A7294" w14:textId="77777777" w:rsidR="004E1A25" w:rsidRPr="00214EE7" w:rsidRDefault="003008D4" w:rsidP="004E1A25">
      <w:pPr>
        <w:pStyle w:val="SpecPara4"/>
      </w:pPr>
      <w:r w:rsidRPr="00214EE7">
        <w:rPr>
          <w:lang w:val="fr-CA"/>
        </w:rPr>
        <w:t xml:space="preserve"> </w:t>
      </w:r>
      <w:r w:rsidRPr="00214EE7">
        <w:rPr>
          <w:lang w:val="fr-CA"/>
        </w:rPr>
        <w:tab/>
        <w:t>Système de batterie de secours.</w:t>
      </w:r>
    </w:p>
    <w:p w14:paraId="709A7295" w14:textId="77777777" w:rsidR="004E1A25" w:rsidRPr="00214EE7" w:rsidRDefault="003008D4" w:rsidP="004E1A25">
      <w:pPr>
        <w:pStyle w:val="SpecPara4"/>
      </w:pPr>
      <w:r w:rsidRPr="00214EE7">
        <w:rPr>
          <w:lang w:val="fr-CA"/>
        </w:rPr>
        <w:t xml:space="preserve"> </w:t>
      </w:r>
      <w:r w:rsidRPr="00214EE7">
        <w:rPr>
          <w:lang w:val="fr-CA"/>
        </w:rPr>
        <w:tab/>
        <w:t>Trousse de montage de rechange.</w:t>
      </w:r>
    </w:p>
    <w:p w14:paraId="709A7296" w14:textId="77777777" w:rsidR="004E1A25" w:rsidRPr="00214EE7" w:rsidRDefault="003008D4" w:rsidP="004E1A25">
      <w:pPr>
        <w:pStyle w:val="SpecPara4"/>
      </w:pPr>
      <w:r w:rsidRPr="00214EE7">
        <w:rPr>
          <w:lang w:val="fr-CA"/>
        </w:rPr>
        <w:t xml:space="preserve"> </w:t>
      </w:r>
      <w:r w:rsidRPr="00214EE7">
        <w:rPr>
          <w:lang w:val="fr-CA"/>
        </w:rPr>
        <w:tab/>
        <w:t>Lampe à DEL télécommandée MyQ.</w:t>
      </w:r>
    </w:p>
    <w:p w14:paraId="709A7297" w14:textId="77777777" w:rsidR="004E1A25" w:rsidRPr="00214EE7" w:rsidRDefault="003008D4" w:rsidP="004E1A25">
      <w:pPr>
        <w:pStyle w:val="SpecPara4"/>
      </w:pPr>
      <w:r w:rsidRPr="00214EE7">
        <w:rPr>
          <w:lang w:val="fr-CA"/>
        </w:rPr>
        <w:t xml:space="preserve"> </w:t>
      </w:r>
      <w:r w:rsidRPr="00214EE7">
        <w:rPr>
          <w:lang w:val="fr-CA"/>
        </w:rPr>
        <w:tab/>
      </w:r>
      <w:r w:rsidRPr="00214EE7">
        <w:rPr>
          <w:color w:val="FF0000"/>
          <w:lang w:val="fr-CA"/>
        </w:rPr>
        <w:t>Clavier sans fil [KPW5] [KPW250]</w:t>
      </w:r>
      <w:r w:rsidRPr="00214EE7">
        <w:rPr>
          <w:lang w:val="fr-CA"/>
        </w:rPr>
        <w:t>,</w:t>
      </w:r>
      <w:r w:rsidRPr="00214EE7">
        <w:rPr>
          <w:color w:val="FF0000"/>
          <w:lang w:val="fr-CA"/>
        </w:rPr>
        <w:t xml:space="preserve"> </w:t>
      </w:r>
    </w:p>
    <w:p w14:paraId="709A7298" w14:textId="77777777" w:rsidR="004E1A25" w:rsidRPr="00214EE7" w:rsidRDefault="004E1A25" w:rsidP="004E1A25">
      <w:pPr>
        <w:pStyle w:val="SpecPara4"/>
        <w:numPr>
          <w:ilvl w:val="0"/>
          <w:numId w:val="0"/>
        </w:numPr>
      </w:pPr>
    </w:p>
    <w:p w14:paraId="709A72F8" w14:textId="77777777" w:rsidR="00476C6A" w:rsidRPr="004509CA" w:rsidRDefault="00476C6A" w:rsidP="00476C6A"/>
    <w:p w14:paraId="709A72F9" w14:textId="77777777" w:rsidR="00077508" w:rsidRPr="00214EE7" w:rsidRDefault="003008D4" w:rsidP="005F0659">
      <w:pPr>
        <w:pStyle w:val="Level1"/>
      </w:pPr>
      <w:r w:rsidRPr="00214EE7">
        <w:rPr>
          <w:bCs/>
          <w:lang w:val="fr-CA"/>
        </w:rPr>
        <w:tab/>
        <w:t>EXÉCUTION</w:t>
      </w:r>
    </w:p>
    <w:p w14:paraId="709A72FA" w14:textId="77777777" w:rsidR="00077508" w:rsidRPr="00214EE7" w:rsidRDefault="00077508" w:rsidP="00823BD1"/>
    <w:p w14:paraId="709A72FB" w14:textId="77777777" w:rsidR="00077508" w:rsidRPr="00214EE7" w:rsidRDefault="003008D4" w:rsidP="005F0659">
      <w:pPr>
        <w:pStyle w:val="Level2"/>
      </w:pPr>
      <w:r w:rsidRPr="00214EE7">
        <w:rPr>
          <w:lang w:val="fr-CA"/>
        </w:rPr>
        <w:tab/>
        <w:t>INSTALLATION</w:t>
      </w:r>
    </w:p>
    <w:p w14:paraId="709A72FC" w14:textId="77777777" w:rsidR="00077508" w:rsidRPr="00214EE7" w:rsidRDefault="00077508" w:rsidP="00823BD1"/>
    <w:p w14:paraId="709A72FD" w14:textId="77777777" w:rsidR="009620BA" w:rsidRPr="00214EE7" w:rsidRDefault="003008D4" w:rsidP="00A25D64">
      <w:pPr>
        <w:pStyle w:val="Level3"/>
      </w:pPr>
      <w:r w:rsidRPr="00214EE7">
        <w:rPr>
          <w:lang w:val="fr-CA"/>
        </w:rPr>
        <w:tab/>
        <w:t xml:space="preserve">Installer conformément aux instructions du fabricant. </w:t>
      </w:r>
    </w:p>
    <w:p w14:paraId="709A72FE" w14:textId="77777777" w:rsidR="00077508" w:rsidRPr="00214EE7" w:rsidRDefault="00077508" w:rsidP="00823BD1"/>
    <w:p w14:paraId="709A72FF" w14:textId="77777777" w:rsidR="00077508" w:rsidRPr="00214EE7" w:rsidRDefault="003008D4" w:rsidP="005F0659">
      <w:pPr>
        <w:pStyle w:val="Level2"/>
      </w:pPr>
      <w:r w:rsidRPr="00214EE7">
        <w:rPr>
          <w:lang w:val="fr-CA"/>
        </w:rPr>
        <w:tab/>
        <w:t>ACTIVITÉS DE CLÔTURE</w:t>
      </w:r>
    </w:p>
    <w:p w14:paraId="709A7300" w14:textId="77777777" w:rsidR="00A25D64" w:rsidRPr="00214EE7" w:rsidRDefault="00A25D64" w:rsidP="00A25D64">
      <w:pPr>
        <w:pStyle w:val="Level2"/>
        <w:numPr>
          <w:ilvl w:val="0"/>
          <w:numId w:val="0"/>
        </w:numPr>
      </w:pPr>
    </w:p>
    <w:p w14:paraId="709A7301" w14:textId="77777777" w:rsidR="00A25D64" w:rsidRPr="00214EE7" w:rsidRDefault="003008D4" w:rsidP="00A25D64">
      <w:pPr>
        <w:pStyle w:val="SpecPara3"/>
      </w:pPr>
      <w:r w:rsidRPr="00214EE7">
        <w:rPr>
          <w:lang w:val="fr-CA"/>
        </w:rPr>
        <w:t xml:space="preserve"> </w:t>
      </w:r>
      <w:r w:rsidRPr="00214EE7">
        <w:rPr>
          <w:lang w:val="fr-CA"/>
        </w:rPr>
        <w:tab/>
        <w:t>Tester et régler les actionneurs pour assurer leur bon fonctionnement.</w:t>
      </w:r>
    </w:p>
    <w:p w14:paraId="709A7302" w14:textId="77777777" w:rsidR="00077508" w:rsidRPr="00214EE7" w:rsidRDefault="00077508" w:rsidP="00823BD1"/>
    <w:p w14:paraId="709A7303" w14:textId="77777777" w:rsidR="00077508" w:rsidRPr="00214EE7" w:rsidRDefault="003008D4" w:rsidP="005F0659">
      <w:pPr>
        <w:pStyle w:val="Level3"/>
      </w:pPr>
      <w:r w:rsidRPr="00214EE7">
        <w:rPr>
          <w:lang w:val="fr-CA"/>
        </w:rPr>
        <w:tab/>
        <w:t>Démonstration : Faire la démonstration du fonctionnement et de la programmation des actionneurs au propriétaire.</w:t>
      </w:r>
    </w:p>
    <w:p w14:paraId="709A7304" w14:textId="77777777" w:rsidR="00077508" w:rsidRPr="00214EE7" w:rsidRDefault="00077508" w:rsidP="00823BD1">
      <w:pPr>
        <w:rPr>
          <w:rFonts w:cs="Arial"/>
        </w:rPr>
      </w:pPr>
    </w:p>
    <w:p w14:paraId="709A7305" w14:textId="77777777" w:rsidR="00077508" w:rsidRPr="00214EE7" w:rsidRDefault="00077508" w:rsidP="00823BD1">
      <w:pPr>
        <w:rPr>
          <w:rFonts w:cs="Arial"/>
        </w:rPr>
      </w:pPr>
    </w:p>
    <w:p w14:paraId="709A7306" w14:textId="77777777" w:rsidR="00077508" w:rsidRPr="00214EE7" w:rsidRDefault="003008D4" w:rsidP="005F0659">
      <w:pPr>
        <w:jc w:val="center"/>
        <w:rPr>
          <w:rFonts w:cs="Arial"/>
        </w:rPr>
      </w:pPr>
      <w:r w:rsidRPr="00214EE7">
        <w:rPr>
          <w:rFonts w:cs="Arial"/>
          <w:lang w:val="fr-CA"/>
        </w:rPr>
        <w:t>FIN DE LA SECTION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F3AA" w14:textId="77777777" w:rsidR="003008D4" w:rsidRDefault="003008D4">
      <w:r>
        <w:separator/>
      </w:r>
    </w:p>
  </w:endnote>
  <w:endnote w:type="continuationSeparator" w:id="0">
    <w:p w14:paraId="2889C0E3" w14:textId="77777777" w:rsidR="003008D4" w:rsidRDefault="00300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B" w14:textId="77777777"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09A730C"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D" w14:textId="77777777" w:rsidR="00C57908" w:rsidRDefault="00C57908" w:rsidP="00AF6188">
    <w:pPr>
      <w:tabs>
        <w:tab w:val="center" w:pos="5040"/>
        <w:tab w:val="right" w:pos="10079"/>
      </w:tabs>
      <w:rPr>
        <w:rFonts w:cs="Arial"/>
      </w:rPr>
    </w:pPr>
  </w:p>
  <w:p w14:paraId="709A730E" w14:textId="77777777" w:rsidR="00C57908" w:rsidRPr="00AF6188" w:rsidRDefault="003008D4" w:rsidP="00AF6188">
    <w:pPr>
      <w:tabs>
        <w:tab w:val="center" w:pos="5040"/>
        <w:tab w:val="right" w:pos="10079"/>
      </w:tabs>
      <w:rPr>
        <w:rFonts w:cs="Arial"/>
      </w:rPr>
    </w:pPr>
    <w:r>
      <w:rPr>
        <w:rFonts w:cs="Arial"/>
        <w:lang w:val="fr-CA"/>
      </w:rPr>
      <w:t xml:space="preserve">Actionneurs commerciaux de porte </w:t>
    </w:r>
    <w:r>
      <w:rPr>
        <w:rFonts w:cs="Arial"/>
        <w:lang w:val="fr-CA"/>
      </w:rPr>
      <w:tab/>
    </w:r>
    <w:r>
      <w:rPr>
        <w:rFonts w:cs="Arial"/>
        <w:lang w:val="fr-CA"/>
      </w:rPr>
      <w:tab/>
      <w:t>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075E5" w14:textId="77777777" w:rsidR="003008D4" w:rsidRDefault="003008D4">
      <w:r>
        <w:separator/>
      </w:r>
    </w:p>
  </w:footnote>
  <w:footnote w:type="continuationSeparator" w:id="0">
    <w:p w14:paraId="22359157" w14:textId="77777777" w:rsidR="003008D4" w:rsidRDefault="00300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7"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309"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09A730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62640102">
      <w:start w:val="1"/>
      <w:numFmt w:val="bullet"/>
      <w:lvlText w:val=""/>
      <w:lvlJc w:val="left"/>
      <w:pPr>
        <w:ind w:left="720" w:hanging="360"/>
      </w:pPr>
      <w:rPr>
        <w:rFonts w:ascii="Symbol" w:hAnsi="Symbol" w:hint="default"/>
      </w:rPr>
    </w:lvl>
    <w:lvl w:ilvl="1" w:tplc="F214AF7E" w:tentative="1">
      <w:start w:val="1"/>
      <w:numFmt w:val="bullet"/>
      <w:lvlText w:val="o"/>
      <w:lvlJc w:val="left"/>
      <w:pPr>
        <w:ind w:left="1440" w:hanging="360"/>
      </w:pPr>
      <w:rPr>
        <w:rFonts w:ascii="Courier New" w:hAnsi="Courier New" w:cs="Courier New" w:hint="default"/>
      </w:rPr>
    </w:lvl>
    <w:lvl w:ilvl="2" w:tplc="0698694E" w:tentative="1">
      <w:start w:val="1"/>
      <w:numFmt w:val="bullet"/>
      <w:lvlText w:val=""/>
      <w:lvlJc w:val="left"/>
      <w:pPr>
        <w:ind w:left="2160" w:hanging="360"/>
      </w:pPr>
      <w:rPr>
        <w:rFonts w:ascii="Wingdings" w:hAnsi="Wingdings" w:hint="default"/>
      </w:rPr>
    </w:lvl>
    <w:lvl w:ilvl="3" w:tplc="6DE45800" w:tentative="1">
      <w:start w:val="1"/>
      <w:numFmt w:val="bullet"/>
      <w:lvlText w:val=""/>
      <w:lvlJc w:val="left"/>
      <w:pPr>
        <w:ind w:left="2880" w:hanging="360"/>
      </w:pPr>
      <w:rPr>
        <w:rFonts w:ascii="Symbol" w:hAnsi="Symbol" w:hint="default"/>
      </w:rPr>
    </w:lvl>
    <w:lvl w:ilvl="4" w:tplc="5BA2E28E" w:tentative="1">
      <w:start w:val="1"/>
      <w:numFmt w:val="bullet"/>
      <w:lvlText w:val="o"/>
      <w:lvlJc w:val="left"/>
      <w:pPr>
        <w:ind w:left="3600" w:hanging="360"/>
      </w:pPr>
      <w:rPr>
        <w:rFonts w:ascii="Courier New" w:hAnsi="Courier New" w:cs="Courier New" w:hint="default"/>
      </w:rPr>
    </w:lvl>
    <w:lvl w:ilvl="5" w:tplc="06148788" w:tentative="1">
      <w:start w:val="1"/>
      <w:numFmt w:val="bullet"/>
      <w:lvlText w:val=""/>
      <w:lvlJc w:val="left"/>
      <w:pPr>
        <w:ind w:left="4320" w:hanging="360"/>
      </w:pPr>
      <w:rPr>
        <w:rFonts w:ascii="Wingdings" w:hAnsi="Wingdings" w:hint="default"/>
      </w:rPr>
    </w:lvl>
    <w:lvl w:ilvl="6" w:tplc="F7BC9552" w:tentative="1">
      <w:start w:val="1"/>
      <w:numFmt w:val="bullet"/>
      <w:lvlText w:val=""/>
      <w:lvlJc w:val="left"/>
      <w:pPr>
        <w:ind w:left="5040" w:hanging="360"/>
      </w:pPr>
      <w:rPr>
        <w:rFonts w:ascii="Symbol" w:hAnsi="Symbol" w:hint="default"/>
      </w:rPr>
    </w:lvl>
    <w:lvl w:ilvl="7" w:tplc="0090E200" w:tentative="1">
      <w:start w:val="1"/>
      <w:numFmt w:val="bullet"/>
      <w:lvlText w:val="o"/>
      <w:lvlJc w:val="left"/>
      <w:pPr>
        <w:ind w:left="5760" w:hanging="360"/>
      </w:pPr>
      <w:rPr>
        <w:rFonts w:ascii="Courier New" w:hAnsi="Courier New" w:cs="Courier New" w:hint="default"/>
      </w:rPr>
    </w:lvl>
    <w:lvl w:ilvl="8" w:tplc="C68428FA"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9A1E0A2A">
      <w:start w:val="1"/>
      <w:numFmt w:val="bullet"/>
      <w:lvlText w:val=""/>
      <w:lvlJc w:val="left"/>
      <w:pPr>
        <w:ind w:left="720" w:hanging="360"/>
      </w:pPr>
      <w:rPr>
        <w:rFonts w:ascii="Symbol" w:hAnsi="Symbol" w:hint="default"/>
      </w:rPr>
    </w:lvl>
    <w:lvl w:ilvl="1" w:tplc="46F0C1F2" w:tentative="1">
      <w:start w:val="1"/>
      <w:numFmt w:val="bullet"/>
      <w:lvlText w:val="o"/>
      <w:lvlJc w:val="left"/>
      <w:pPr>
        <w:ind w:left="1440" w:hanging="360"/>
      </w:pPr>
      <w:rPr>
        <w:rFonts w:ascii="Courier New" w:hAnsi="Courier New" w:cs="Courier New" w:hint="default"/>
      </w:rPr>
    </w:lvl>
    <w:lvl w:ilvl="2" w:tplc="DEC83676" w:tentative="1">
      <w:start w:val="1"/>
      <w:numFmt w:val="bullet"/>
      <w:lvlText w:val=""/>
      <w:lvlJc w:val="left"/>
      <w:pPr>
        <w:ind w:left="2160" w:hanging="360"/>
      </w:pPr>
      <w:rPr>
        <w:rFonts w:ascii="Wingdings" w:hAnsi="Wingdings" w:hint="default"/>
      </w:rPr>
    </w:lvl>
    <w:lvl w:ilvl="3" w:tplc="ACEC8C42" w:tentative="1">
      <w:start w:val="1"/>
      <w:numFmt w:val="bullet"/>
      <w:lvlText w:val=""/>
      <w:lvlJc w:val="left"/>
      <w:pPr>
        <w:ind w:left="2880" w:hanging="360"/>
      </w:pPr>
      <w:rPr>
        <w:rFonts w:ascii="Symbol" w:hAnsi="Symbol" w:hint="default"/>
      </w:rPr>
    </w:lvl>
    <w:lvl w:ilvl="4" w:tplc="406AAE14" w:tentative="1">
      <w:start w:val="1"/>
      <w:numFmt w:val="bullet"/>
      <w:lvlText w:val="o"/>
      <w:lvlJc w:val="left"/>
      <w:pPr>
        <w:ind w:left="3600" w:hanging="360"/>
      </w:pPr>
      <w:rPr>
        <w:rFonts w:ascii="Courier New" w:hAnsi="Courier New" w:cs="Courier New" w:hint="default"/>
      </w:rPr>
    </w:lvl>
    <w:lvl w:ilvl="5" w:tplc="D286E3AE" w:tentative="1">
      <w:start w:val="1"/>
      <w:numFmt w:val="bullet"/>
      <w:lvlText w:val=""/>
      <w:lvlJc w:val="left"/>
      <w:pPr>
        <w:ind w:left="4320" w:hanging="360"/>
      </w:pPr>
      <w:rPr>
        <w:rFonts w:ascii="Wingdings" w:hAnsi="Wingdings" w:hint="default"/>
      </w:rPr>
    </w:lvl>
    <w:lvl w:ilvl="6" w:tplc="108AF5EC" w:tentative="1">
      <w:start w:val="1"/>
      <w:numFmt w:val="bullet"/>
      <w:lvlText w:val=""/>
      <w:lvlJc w:val="left"/>
      <w:pPr>
        <w:ind w:left="5040" w:hanging="360"/>
      </w:pPr>
      <w:rPr>
        <w:rFonts w:ascii="Symbol" w:hAnsi="Symbol" w:hint="default"/>
      </w:rPr>
    </w:lvl>
    <w:lvl w:ilvl="7" w:tplc="25CA20EA" w:tentative="1">
      <w:start w:val="1"/>
      <w:numFmt w:val="bullet"/>
      <w:lvlText w:val="o"/>
      <w:lvlJc w:val="left"/>
      <w:pPr>
        <w:ind w:left="5760" w:hanging="360"/>
      </w:pPr>
      <w:rPr>
        <w:rFonts w:ascii="Courier New" w:hAnsi="Courier New" w:cs="Courier New" w:hint="default"/>
      </w:rPr>
    </w:lvl>
    <w:lvl w:ilvl="8" w:tplc="0902FD30"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52AA4"/>
    <w:rsid w:val="00055D14"/>
    <w:rsid w:val="00056219"/>
    <w:rsid w:val="0005730B"/>
    <w:rsid w:val="00070E06"/>
    <w:rsid w:val="00077508"/>
    <w:rsid w:val="000A0042"/>
    <w:rsid w:val="000A5C9B"/>
    <w:rsid w:val="000A7402"/>
    <w:rsid w:val="000B4D51"/>
    <w:rsid w:val="000B6FA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E4817"/>
    <w:rsid w:val="002E536D"/>
    <w:rsid w:val="002F1702"/>
    <w:rsid w:val="00300494"/>
    <w:rsid w:val="003008D4"/>
    <w:rsid w:val="00303D6A"/>
    <w:rsid w:val="0030721F"/>
    <w:rsid w:val="00310D76"/>
    <w:rsid w:val="00323964"/>
    <w:rsid w:val="00326E7C"/>
    <w:rsid w:val="003334DB"/>
    <w:rsid w:val="00336C2B"/>
    <w:rsid w:val="00341BB3"/>
    <w:rsid w:val="0034262A"/>
    <w:rsid w:val="00353427"/>
    <w:rsid w:val="003601A2"/>
    <w:rsid w:val="00360AED"/>
    <w:rsid w:val="003629A4"/>
    <w:rsid w:val="00366C61"/>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C5316"/>
    <w:rsid w:val="005D5C0D"/>
    <w:rsid w:val="005E1061"/>
    <w:rsid w:val="005E305B"/>
    <w:rsid w:val="005E786D"/>
    <w:rsid w:val="005F0659"/>
    <w:rsid w:val="005F7128"/>
    <w:rsid w:val="0060080D"/>
    <w:rsid w:val="00613691"/>
    <w:rsid w:val="0063445D"/>
    <w:rsid w:val="00652D94"/>
    <w:rsid w:val="006558A3"/>
    <w:rsid w:val="00675182"/>
    <w:rsid w:val="00695E45"/>
    <w:rsid w:val="006A32D7"/>
    <w:rsid w:val="006B78B5"/>
    <w:rsid w:val="006C210C"/>
    <w:rsid w:val="006D33B9"/>
    <w:rsid w:val="00716353"/>
    <w:rsid w:val="00720671"/>
    <w:rsid w:val="00730C18"/>
    <w:rsid w:val="00740E13"/>
    <w:rsid w:val="00742497"/>
    <w:rsid w:val="007729AC"/>
    <w:rsid w:val="00774C1C"/>
    <w:rsid w:val="007811BD"/>
    <w:rsid w:val="007822C3"/>
    <w:rsid w:val="00784C87"/>
    <w:rsid w:val="007875AC"/>
    <w:rsid w:val="007C480E"/>
    <w:rsid w:val="007C6FB7"/>
    <w:rsid w:val="00816166"/>
    <w:rsid w:val="00820A14"/>
    <w:rsid w:val="00823BD1"/>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806"/>
    <w:rsid w:val="00B17513"/>
    <w:rsid w:val="00B34121"/>
    <w:rsid w:val="00B46DD4"/>
    <w:rsid w:val="00B52D1A"/>
    <w:rsid w:val="00B7123E"/>
    <w:rsid w:val="00B72980"/>
    <w:rsid w:val="00BA5BA4"/>
    <w:rsid w:val="00BB489F"/>
    <w:rsid w:val="00BD77D0"/>
    <w:rsid w:val="00C10084"/>
    <w:rsid w:val="00C52567"/>
    <w:rsid w:val="00C57908"/>
    <w:rsid w:val="00C7158B"/>
    <w:rsid w:val="00C7597F"/>
    <w:rsid w:val="00C76B2E"/>
    <w:rsid w:val="00C820B4"/>
    <w:rsid w:val="00C86C6F"/>
    <w:rsid w:val="00C943B3"/>
    <w:rsid w:val="00CB3227"/>
    <w:rsid w:val="00CB3A81"/>
    <w:rsid w:val="00CC65FF"/>
    <w:rsid w:val="00CE4E04"/>
    <w:rsid w:val="00CE6D9F"/>
    <w:rsid w:val="00D05AED"/>
    <w:rsid w:val="00D216A4"/>
    <w:rsid w:val="00D40F34"/>
    <w:rsid w:val="00D50ADE"/>
    <w:rsid w:val="00D73D67"/>
    <w:rsid w:val="00D8775A"/>
    <w:rsid w:val="00DC6B95"/>
    <w:rsid w:val="00DD5366"/>
    <w:rsid w:val="00DF7A9D"/>
    <w:rsid w:val="00E02523"/>
    <w:rsid w:val="00E20A59"/>
    <w:rsid w:val="00E27BDC"/>
    <w:rsid w:val="00E40E38"/>
    <w:rsid w:val="00E67F44"/>
    <w:rsid w:val="00E70E15"/>
    <w:rsid w:val="00E744BF"/>
    <w:rsid w:val="00EB582B"/>
    <w:rsid w:val="00EE0553"/>
    <w:rsid w:val="00EE0BE5"/>
    <w:rsid w:val="00EE78E0"/>
    <w:rsid w:val="00F05F42"/>
    <w:rsid w:val="00F131B0"/>
    <w:rsid w:val="00F321DD"/>
    <w:rsid w:val="00F37AD0"/>
    <w:rsid w:val="00F455E0"/>
    <w:rsid w:val="00F608DE"/>
    <w:rsid w:val="00F76911"/>
    <w:rsid w:val="00F82470"/>
    <w:rsid w:val="00F85AE4"/>
    <w:rsid w:val="00F95E8E"/>
    <w:rsid w:val="00FA7114"/>
    <w:rsid w:val="00FB1FFA"/>
    <w:rsid w:val="00FC10BD"/>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70D1"/>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69"/>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3</Pages>
  <Words>467</Words>
  <Characters>5522</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2021-07-08T17:42:00Z</dcterms:created>
  <dcterms:modified xsi:type="dcterms:W3CDTF">2021-07-08T17:50:00Z</dcterms:modified>
</cp:coreProperties>
</file>