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9CE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08D79CE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08D79CE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08D79CF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08D79CF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08D79CF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08D79CF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08D79CF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08D79CF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08D79CF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CF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08D79CF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CF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08D79CF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CF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 xml:space="preserve">Color: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08D79CF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CF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08D79CF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CF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08D79D0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D0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08D79D0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08D79D0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08D79D0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08D79D0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SimpleSpecs™. El sistema de especificaciones SimpleSpecs™ </w:t>
      </w:r>
      <w:proofErr w:type="gramStart"/>
      <w:r>
        <w:rPr>
          <w:rFonts w:eastAsia="Arial" w:cs="Arial"/>
          <w:color w:val="0070C0"/>
          <w:lang w:val="es-MX"/>
        </w:rPr>
        <w:t>Master</w:t>
      </w:r>
      <w:proofErr w:type="gramEnd"/>
      <w:r>
        <w:rPr>
          <w:rFonts w:eastAsia="Arial" w:cs="Arial"/>
          <w:color w:val="0070C0"/>
          <w:lang w:val="es-MX"/>
        </w:rPr>
        <w:t xml:space="preserve"> Guide consta de una especificación arquitectónica maestra completa, que se puede usar para especificar todos los requisitos del proyecto. Si desea obtener más información sobre los productos SimpleSpecs™,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08D79D0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08D79D0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08D79D0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8D79D0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08D79D0A" w14:textId="77777777" w:rsidR="00EF5F48" w:rsidRDefault="00EF5F48">
      <w:pPr>
        <w:pStyle w:val="Level2"/>
        <w:numPr>
          <w:ilvl w:val="0"/>
          <w:numId w:val="0"/>
        </w:numPr>
      </w:pPr>
    </w:p>
    <w:p w14:paraId="08D79D0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08D79D0C" w14:textId="77777777" w:rsidR="00EF5F48" w:rsidRDefault="00EE12A7">
      <w:r>
        <w:t xml:space="preserve"> </w:t>
      </w:r>
    </w:p>
    <w:p w14:paraId="08D79D0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08D79D0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08D79D0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08D79D10" w14:textId="77777777" w:rsidR="00EF5F48" w:rsidRDefault="00EF5F48">
      <w:pPr>
        <w:rPr>
          <w:lang w:val="es-ES"/>
        </w:rPr>
      </w:pPr>
    </w:p>
    <w:p w14:paraId="08D79D1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08D79D1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08D79D13" w14:textId="77777777" w:rsidR="00EF5F48" w:rsidRDefault="00EF5F48">
      <w:pPr>
        <w:rPr>
          <w:lang w:val="es-ES"/>
        </w:rPr>
      </w:pPr>
      <w:bookmarkStart w:id="1" w:name="_Hlk37778670"/>
    </w:p>
    <w:p w14:paraId="08D79D1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08D79D15" w14:textId="77777777" w:rsidR="00EF5F48" w:rsidRDefault="00EF5F48"/>
    <w:p w14:paraId="08D79D1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08D79D17" w14:textId="77777777" w:rsidR="00EF5F48" w:rsidRDefault="00EF5F48">
      <w:pPr>
        <w:rPr>
          <w:lang w:val="es-ES"/>
        </w:rPr>
      </w:pPr>
    </w:p>
    <w:p w14:paraId="08D79D1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08D79D19" w14:textId="77777777" w:rsidR="00EF5F48" w:rsidRDefault="00EF5F48">
      <w:pPr>
        <w:rPr>
          <w:rFonts w:cs="Arial"/>
        </w:rPr>
      </w:pPr>
    </w:p>
    <w:p w14:paraId="08D79D1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08D79D1B" w14:textId="77777777" w:rsidR="00EF5F48" w:rsidRDefault="00EF5F48">
      <w:pPr>
        <w:rPr>
          <w:rFonts w:cs="Arial"/>
          <w:color w:val="0070C0"/>
          <w:lang w:val="es-ES"/>
        </w:rPr>
      </w:pPr>
    </w:p>
    <w:p w14:paraId="08D79D1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08D79D1D" w14:textId="77777777" w:rsidR="00EF5F48" w:rsidRDefault="00EF5F48">
      <w:pPr>
        <w:rPr>
          <w:lang w:val="es-ES"/>
        </w:rPr>
      </w:pPr>
    </w:p>
    <w:p w14:paraId="08D79D1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08D79D1F" w14:textId="77777777" w:rsidR="00EF5F48" w:rsidRDefault="00EF5F48"/>
    <w:p w14:paraId="08D79D2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08D79D21" w14:textId="77777777" w:rsidR="00EF5F48" w:rsidRDefault="00EF5F48"/>
    <w:p w14:paraId="08D79D22" w14:textId="436323FF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08D79D23" w14:textId="77777777" w:rsidR="00EF5F48" w:rsidRDefault="00EF5F48">
      <w:pPr>
        <w:pStyle w:val="Level4"/>
        <w:numPr>
          <w:ilvl w:val="0"/>
          <w:numId w:val="0"/>
        </w:numPr>
      </w:pPr>
    </w:p>
    <w:p w14:paraId="08D79D2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08D79D25" w14:textId="77777777" w:rsidR="00EF5F48" w:rsidRDefault="00EF5F48">
      <w:pPr>
        <w:rPr>
          <w:lang w:val="es-ES"/>
        </w:rPr>
      </w:pPr>
    </w:p>
    <w:p w14:paraId="08D79D2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08D79D27" w14:textId="77777777" w:rsidR="00EF5F48" w:rsidRDefault="00EF5F48"/>
    <w:p w14:paraId="08D79D28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residencial de 120 V CA para portones abatibles, de hasta 4.8 m de ancho y peso máximo de 385 kg, hasta 100 ciclos por día. Consulte la bibliografía técnica de LiftMaster para conocer otros detalles.</w:t>
      </w:r>
    </w:p>
    <w:p w14:paraId="08D79D29" w14:textId="77777777" w:rsidR="00EF5F48" w:rsidRDefault="00EF5F48">
      <w:pPr>
        <w:rPr>
          <w:rFonts w:cs="Arial"/>
          <w:color w:val="0070C0"/>
          <w:lang w:val="es-ES"/>
        </w:rPr>
      </w:pPr>
    </w:p>
    <w:p w14:paraId="08D79D2A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abatibles:</w:t>
      </w:r>
    </w:p>
    <w:p w14:paraId="08D79D2B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LA400UL. </w:t>
      </w:r>
    </w:p>
    <w:p w14:paraId="08D79D2C" w14:textId="77777777" w:rsidR="00EF5F48" w:rsidRDefault="00EE12A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Lineal.</w:t>
      </w:r>
    </w:p>
    <w:p w14:paraId="08D79D2D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Cumple con las normas UL 325, UL 991, ASTM F2200 y CAS C22.2 No. 247.</w:t>
      </w:r>
    </w:p>
    <w:p w14:paraId="08D79D2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24 V CC,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08D79D2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  <w:t>Con capacidad de batería de respaldo.</w:t>
      </w:r>
    </w:p>
    <w:p w14:paraId="08D79D30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08D79D31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08D79D32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08D79D33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retrorreflectante monitoreado. </w:t>
      </w:r>
    </w:p>
    <w:p w14:paraId="08D79D34" w14:textId="77777777" w:rsidR="00EF5F48" w:rsidRDefault="00EF5F48">
      <w:pPr>
        <w:rPr>
          <w:rFonts w:cs="Arial"/>
          <w:color w:val="0070C0"/>
        </w:rPr>
      </w:pPr>
    </w:p>
    <w:p w14:paraId="08D79D35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08D79D36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08D79D37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08D79D38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Dispositivos de seguridad monitoreados: </w:t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 [Bordes de seguridad cableados monitoreados].</w:t>
      </w:r>
    </w:p>
    <w:p w14:paraId="08D79D39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[Borde de perfil alto].</w:t>
      </w:r>
    </w:p>
    <w:p w14:paraId="08D79D3A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</w:r>
      <w:r>
        <w:rPr>
          <w:rFonts w:eastAsia="Arial"/>
          <w:lang w:val="es-MX"/>
        </w:rPr>
        <w:t>Sistema de intercomunicación telefónica y control de acceso.</w:t>
      </w:r>
    </w:p>
    <w:p w14:paraId="08D79D3B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Detector de circuito de conexión. </w:t>
      </w:r>
    </w:p>
    <w:p w14:paraId="08D79D3C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Portal de Internet.</w:t>
      </w:r>
    </w:p>
    <w:p w14:paraId="08D79D3D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Intercomunicador de video inteligente.</w:t>
      </w:r>
    </w:p>
    <w:p w14:paraId="08D79D3E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paneles solares.</w:t>
      </w:r>
    </w:p>
    <w:p w14:paraId="08D79D3F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de botones.</w:t>
      </w:r>
    </w:p>
    <w:p w14:paraId="08D79D40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ab/>
      </w:r>
      <w:r>
        <w:rPr>
          <w:rFonts w:eastAsia="Arial"/>
          <w:color w:val="FF0000"/>
          <w:lang w:val="es-MX"/>
        </w:rPr>
        <w:t>[Control remoto DIP encriptado de un botón]. [Control remoto inteligente Security+ 2.0 de dos botones con código variable]. [Control remoto inteligente Security+ 2.0 de cuatro botones con código variable].</w:t>
      </w:r>
    </w:p>
    <w:p w14:paraId="08D79D41" w14:textId="77777777" w:rsidR="00EF5F48" w:rsidRDefault="00EF5F48">
      <w:pPr>
        <w:pStyle w:val="Level5"/>
        <w:numPr>
          <w:ilvl w:val="0"/>
          <w:numId w:val="0"/>
        </w:numPr>
        <w:rPr>
          <w:lang w:val="es-ES"/>
        </w:rPr>
      </w:pPr>
    </w:p>
    <w:p w14:paraId="08D79EC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08D79EC2" w14:textId="77777777" w:rsidR="00EF5F48" w:rsidRDefault="00EF5F48"/>
    <w:p w14:paraId="08D79EC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08D79EC4" w14:textId="77777777" w:rsidR="00EF5F48" w:rsidRDefault="00EF5F48">
      <w:pPr>
        <w:pStyle w:val="Level2"/>
        <w:numPr>
          <w:ilvl w:val="0"/>
          <w:numId w:val="0"/>
        </w:numPr>
      </w:pPr>
    </w:p>
    <w:p w14:paraId="08D79EC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08D79EC6" w14:textId="77777777" w:rsidR="00EF5F48" w:rsidRDefault="00EF5F48">
      <w:pPr>
        <w:rPr>
          <w:lang w:val="es-ES"/>
        </w:rPr>
      </w:pPr>
    </w:p>
    <w:p w14:paraId="08D79EC7" w14:textId="77777777" w:rsidR="00EF5F48" w:rsidRDefault="00EE12A7">
      <w:pPr>
        <w:pStyle w:val="Level2"/>
      </w:pPr>
      <w:r>
        <w:rPr>
          <w:rFonts w:eastAsia="Arial"/>
          <w:lang w:val="es-MX"/>
        </w:rPr>
        <w:lastRenderedPageBreak/>
        <w:tab/>
        <w:t>ACTIVIDADES DE CIERRE</w:t>
      </w:r>
    </w:p>
    <w:p w14:paraId="08D79EC8" w14:textId="77777777" w:rsidR="00EF5F48" w:rsidRDefault="00EF5F48">
      <w:pPr>
        <w:pStyle w:val="Level2"/>
        <w:numPr>
          <w:ilvl w:val="0"/>
          <w:numId w:val="0"/>
        </w:numPr>
      </w:pPr>
    </w:p>
    <w:p w14:paraId="08D79EC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08D79ECA" w14:textId="77777777" w:rsidR="00EF5F48" w:rsidRDefault="00EF5F48">
      <w:pPr>
        <w:rPr>
          <w:lang w:val="es-ES"/>
        </w:rPr>
      </w:pPr>
    </w:p>
    <w:p w14:paraId="08D79ECB" w14:textId="745CBF01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08D79ECC" w14:textId="77777777" w:rsidR="00EF5F48" w:rsidRDefault="00EF5F48">
      <w:pPr>
        <w:rPr>
          <w:rFonts w:cs="Arial"/>
          <w:lang w:val="es-ES"/>
        </w:rPr>
      </w:pPr>
    </w:p>
    <w:p w14:paraId="08D79ECD" w14:textId="77777777" w:rsidR="00EF5F48" w:rsidRDefault="00EF5F48">
      <w:pPr>
        <w:rPr>
          <w:rFonts w:cs="Arial"/>
          <w:lang w:val="es-ES"/>
        </w:rPr>
      </w:pPr>
    </w:p>
    <w:p w14:paraId="08D79EC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9ED1" w14:textId="77777777" w:rsidR="00EF5F48" w:rsidRDefault="00EE12A7">
      <w:r>
        <w:separator/>
      </w:r>
    </w:p>
  </w:endnote>
  <w:endnote w:type="continuationSeparator" w:id="0">
    <w:p w14:paraId="08D79ED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ED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8D79ED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ED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08D79ED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08D79ED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9ECF" w14:textId="77777777" w:rsidR="00EF5F48" w:rsidRDefault="00EE12A7">
      <w:r>
        <w:separator/>
      </w:r>
    </w:p>
  </w:footnote>
  <w:footnote w:type="continuationSeparator" w:id="0">
    <w:p w14:paraId="08D79ED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ED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8D79ED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9ED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8D79ED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3E31D0"/>
    <w:rsid w:val="008C112D"/>
    <w:rsid w:val="00D71411"/>
    <w:rsid w:val="00EE12A7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79CE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3</TotalTime>
  <Pages>3</Pages>
  <Words>720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4936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4</cp:revision>
  <cp:lastPrinted>2021-02-09T18:28:00Z</cp:lastPrinted>
  <dcterms:created xsi:type="dcterms:W3CDTF">2022-02-01T16:11:00Z</dcterms:created>
  <dcterms:modified xsi:type="dcterms:W3CDTF">2022-02-01T16:15:00Z</dcterms:modified>
</cp:coreProperties>
</file>