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4A21FF84"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7F529782" w14:textId="77777777" w:rsidR="004F2AF5" w:rsidRDefault="007E67B6">
      <w:pPr>
        <w:pStyle w:val="Level2"/>
        <w:rPr>
          <w:sz w:val="18"/>
          <w:szCs w:val="18"/>
        </w:rPr>
      </w:pPr>
      <w:r>
        <w:rPr>
          <w:rFonts w:eastAsia="Arial"/>
          <w:sz w:val="18"/>
          <w:szCs w:val="18"/>
          <w:lang w:val="es-MX"/>
        </w:rPr>
        <w:tab/>
        <w:t>COMPONENTES: SISTEMA DE CONTROL DE ACCESO</w:t>
      </w:r>
    </w:p>
    <w:p w14:paraId="5312308A" w14:textId="48E0814A" w:rsidR="004F2AF5" w:rsidRDefault="007E67B6">
      <w:pPr>
        <w:pStyle w:val="Level3"/>
        <w:rPr>
          <w:sz w:val="18"/>
          <w:szCs w:val="18"/>
        </w:rPr>
      </w:pP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Teclado inalámbrico comercial:</w:t>
      </w:r>
    </w:p>
    <w:p w14:paraId="7BDD0275"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Teclado de control de acceso inalámbrico KPW250</w:t>
      </w:r>
    </w:p>
    <w:p w14:paraId="68B44B05"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Máximo de 250 códigos de acceso y 10 exclusivos números de identificación personal (NIP) temporales, </w:t>
      </w:r>
      <w:r>
        <w:rPr>
          <w:rFonts w:eastAsia="Arial" w:cs="Arial"/>
          <w:sz w:val="18"/>
          <w:szCs w:val="18"/>
          <w:lang w:val="es-MX"/>
        </w:rPr>
        <w:t>programable para 1 a  9 usuarios.</w:t>
      </w:r>
      <w:r>
        <w:rPr>
          <w:rFonts w:eastAsia="Arial"/>
          <w:sz w:val="18"/>
          <w:szCs w:val="18"/>
          <w:lang w:val="es-MX"/>
        </w:rPr>
        <w:t xml:space="preserve"> </w:t>
      </w:r>
    </w:p>
    <w:p w14:paraId="67AEFD3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Utiliza </w:t>
      </w:r>
      <w:r>
        <w:rPr>
          <w:rFonts w:eastAsia="Arial" w:cs="Arial"/>
          <w:sz w:val="18"/>
          <w:szCs w:val="18"/>
          <w:lang w:val="es-MX"/>
        </w:rPr>
        <w:t>Security+ 2.0, Security+.</w:t>
      </w:r>
    </w:p>
    <w:p w14:paraId="3F35379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77A28B6C"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bajo.</w:t>
      </w:r>
    </w:p>
    <w:p w14:paraId="31CB99D5"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alto.</w:t>
      </w:r>
    </w:p>
    <w:p w14:paraId="6AD953EC"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Receptor universal.</w:t>
      </w:r>
      <w:commentRangeEnd w:id="2"/>
      <w:r>
        <w:rPr>
          <w:rStyle w:val="CommentReference"/>
          <w:sz w:val="14"/>
          <w:szCs w:val="14"/>
        </w:rPr>
        <w:commentReference w:id="2"/>
      </w:r>
    </w:p>
    <w:p w14:paraId="2E7572E1" w14:textId="67CCC0E8"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351179FF" w14:textId="7A81ECD2" w:rsidR="001D3EB4" w:rsidRDefault="001D3EB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567358A" w14:textId="437DD5B6" w:rsidR="001D3EB4" w:rsidRDefault="001D3EB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4D7C7425" w14:textId="77777777" w:rsidR="001D3EB4" w:rsidRDefault="001D3EB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37CBE3AC"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2:00Z" w:initials="ZD">
    <w:p w14:paraId="6CA8B4FC"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6CA8B4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6CA8B4FC" w16cid:durableId="2630E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2294" w14:textId="77777777" w:rsidR="00485EBC" w:rsidRDefault="00485EBC">
      <w:r>
        <w:separator/>
      </w:r>
    </w:p>
  </w:endnote>
  <w:endnote w:type="continuationSeparator" w:id="0">
    <w:p w14:paraId="6D5BD3D7" w14:textId="77777777" w:rsidR="00485EBC" w:rsidRDefault="004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64ED" w14:textId="77777777" w:rsidR="00485EBC" w:rsidRDefault="00485EBC">
      <w:r>
        <w:separator/>
      </w:r>
    </w:p>
  </w:footnote>
  <w:footnote w:type="continuationSeparator" w:id="0">
    <w:p w14:paraId="2F7D6069" w14:textId="77777777" w:rsidR="00485EBC" w:rsidRDefault="0048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1D3EB4"/>
    <w:rsid w:val="00485EBC"/>
    <w:rsid w:val="004F2AF5"/>
    <w:rsid w:val="004F705C"/>
    <w:rsid w:val="007E67B6"/>
    <w:rsid w:val="00C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2444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2022-07-28T20:33:00Z</dcterms:created>
  <dcterms:modified xsi:type="dcterms:W3CDTF">2022-07-28T20:44:00Z</dcterms:modified>
</cp:coreProperties>
</file>