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C99" w14:textId="77777777" w:rsidR="00356463" w:rsidRDefault="00102548">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5669C9A"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5669C9B"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55669C9C"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5669C9D"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55669C9E"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5669C9F"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55669CA0" w14:textId="77777777" w:rsidR="00356463" w:rsidRDefault="00356463">
      <w:pPr>
        <w:pStyle w:val="Header"/>
        <w:tabs>
          <w:tab w:val="clear" w:pos="4680"/>
          <w:tab w:val="clear" w:pos="9360"/>
          <w:tab w:val="center" w:pos="5040"/>
          <w:tab w:val="right" w:pos="10080"/>
        </w:tabs>
        <w:contextualSpacing/>
        <w:rPr>
          <w:rFonts w:cs="Arial"/>
          <w:color w:val="0070C0"/>
        </w:rPr>
      </w:pPr>
    </w:p>
    <w:p w14:paraId="55669CA1"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55669CA2"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3"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55669CA4"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5"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55669CA6"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7"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55669CA8"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9"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55669CAA"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B"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55669CAC"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AD" w14:textId="77777777" w:rsidR="00356463" w:rsidRDefault="0010254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55669CAE"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5669CAF"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55669CB0"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55669CB1" w14:textId="77777777" w:rsidR="00356463" w:rsidRDefault="001025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55669CB2" w14:textId="77777777" w:rsidR="00356463" w:rsidRDefault="0035646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5669CB3" w14:textId="77777777" w:rsidR="00356463" w:rsidRDefault="00102548">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55669CB4" w14:textId="77777777" w:rsidR="00356463" w:rsidRDefault="0035646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5669CB5" w14:textId="77777777" w:rsidR="00356463" w:rsidRDefault="00102548">
      <w:pPr>
        <w:pStyle w:val="Level1"/>
      </w:pPr>
      <w:r>
        <w:rPr>
          <w:rFonts w:eastAsia="Arial"/>
          <w:bCs/>
          <w:lang w:val="fr-CA"/>
        </w:rPr>
        <w:tab/>
        <w:t>GÉNÉRALITÉS</w:t>
      </w:r>
    </w:p>
    <w:p w14:paraId="55669CB6" w14:textId="77777777" w:rsidR="00356463" w:rsidRDefault="00356463"/>
    <w:p w14:paraId="55669CB7" w14:textId="77777777" w:rsidR="00356463" w:rsidRDefault="00102548">
      <w:pPr>
        <w:pStyle w:val="Level2"/>
      </w:pPr>
      <w:r>
        <w:rPr>
          <w:rFonts w:eastAsia="Arial"/>
          <w:lang w:val="fr-CA"/>
        </w:rPr>
        <w:tab/>
        <w:t>SOUMISSIONS</w:t>
      </w:r>
    </w:p>
    <w:p w14:paraId="55669CB8" w14:textId="77777777" w:rsidR="00356463" w:rsidRDefault="00102548">
      <w:r>
        <w:t xml:space="preserve"> </w:t>
      </w:r>
    </w:p>
    <w:p w14:paraId="55669CB9" w14:textId="77777777" w:rsidR="00356463" w:rsidRDefault="00102548">
      <w:pPr>
        <w:pStyle w:val="Level3"/>
      </w:pPr>
      <w:r>
        <w:rPr>
          <w:rFonts w:eastAsia="Arial"/>
          <w:lang w:val="fr-CA"/>
        </w:rPr>
        <w:tab/>
        <w:t>Soumissions d’action :</w:t>
      </w:r>
    </w:p>
    <w:p w14:paraId="55669CBA" w14:textId="77777777" w:rsidR="00356463" w:rsidRDefault="00102548">
      <w:pPr>
        <w:pStyle w:val="Level4"/>
      </w:pPr>
      <w:r>
        <w:rPr>
          <w:rFonts w:eastAsia="Arial"/>
          <w:lang w:val="fr-CA"/>
        </w:rPr>
        <w:tab/>
        <w:t>Données sur le produit : Données descriptives du fabricant et attributs du produit.</w:t>
      </w:r>
    </w:p>
    <w:p w14:paraId="55669CBB" w14:textId="77777777" w:rsidR="00356463" w:rsidRDefault="00356463"/>
    <w:p w14:paraId="55669CBC" w14:textId="77777777" w:rsidR="00356463" w:rsidRDefault="00102548">
      <w:pPr>
        <w:pStyle w:val="Level3"/>
      </w:pPr>
      <w:r>
        <w:rPr>
          <w:rFonts w:eastAsia="Arial"/>
          <w:lang w:val="fr-CA"/>
        </w:rPr>
        <w:tab/>
        <w:t>Soumissions de clôture :</w:t>
      </w:r>
    </w:p>
    <w:p w14:paraId="55669CBD" w14:textId="77777777" w:rsidR="00356463" w:rsidRDefault="00102548">
      <w:pPr>
        <w:pStyle w:val="Level4"/>
      </w:pPr>
      <w:r>
        <w:rPr>
          <w:rFonts w:eastAsia="Arial"/>
          <w:lang w:val="fr-CA"/>
        </w:rPr>
        <w:tab/>
        <w:t>Données de fonctionnement et d’entretien</w:t>
      </w:r>
    </w:p>
    <w:p w14:paraId="55669CBE" w14:textId="77777777" w:rsidR="00356463" w:rsidRDefault="00356463">
      <w:bookmarkStart w:id="1" w:name="_Hlk37778670"/>
    </w:p>
    <w:p w14:paraId="55669CBF" w14:textId="77777777" w:rsidR="00356463" w:rsidRDefault="00102548">
      <w:pPr>
        <w:pStyle w:val="Level2"/>
      </w:pPr>
      <w:r>
        <w:rPr>
          <w:rFonts w:eastAsia="Arial"/>
          <w:lang w:val="fr-CA"/>
        </w:rPr>
        <w:tab/>
        <w:t>ASSURANCE DE LA QUALITÉ</w:t>
      </w:r>
    </w:p>
    <w:p w14:paraId="55669CC0" w14:textId="77777777" w:rsidR="00356463" w:rsidRDefault="00356463"/>
    <w:p w14:paraId="55669CC1" w14:textId="77777777" w:rsidR="00356463" w:rsidRDefault="00102548">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55669CC2" w14:textId="77777777" w:rsidR="00356463" w:rsidRDefault="00356463"/>
    <w:p w14:paraId="55669CC3" w14:textId="77777777" w:rsidR="00356463" w:rsidRDefault="00102548">
      <w:pPr>
        <w:pStyle w:val="Level2"/>
      </w:pPr>
      <w:r>
        <w:rPr>
          <w:rFonts w:eastAsia="Arial"/>
          <w:lang w:val="fr-CA"/>
        </w:rPr>
        <w:tab/>
        <w:t>GARANTIE</w:t>
      </w:r>
    </w:p>
    <w:p w14:paraId="55669CC4" w14:textId="77777777" w:rsidR="00356463" w:rsidRDefault="00356463"/>
    <w:p w14:paraId="55669CC5" w14:textId="77777777" w:rsidR="00356463" w:rsidRDefault="00102548">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55669CC6" w14:textId="77777777" w:rsidR="00356463" w:rsidRDefault="00356463">
      <w:pPr>
        <w:rPr>
          <w:rFonts w:cs="Arial"/>
          <w:color w:val="0070C0"/>
        </w:rPr>
      </w:pPr>
    </w:p>
    <w:p w14:paraId="55669CC7" w14:textId="77777777" w:rsidR="00356463" w:rsidRDefault="00102548">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55669CC8" w14:textId="77777777" w:rsidR="00356463" w:rsidRDefault="00356463"/>
    <w:p w14:paraId="55669CC9" w14:textId="77777777" w:rsidR="00356463" w:rsidRDefault="00102548">
      <w:pPr>
        <w:pStyle w:val="Level1"/>
      </w:pPr>
      <w:r>
        <w:rPr>
          <w:rFonts w:eastAsia="Arial"/>
          <w:bCs/>
          <w:lang w:val="fr-CA"/>
        </w:rPr>
        <w:tab/>
        <w:t>PRODUITS</w:t>
      </w:r>
    </w:p>
    <w:p w14:paraId="55669CCA" w14:textId="77777777" w:rsidR="00356463" w:rsidRDefault="00356463"/>
    <w:p w14:paraId="55669CCB" w14:textId="77777777" w:rsidR="00356463" w:rsidRDefault="00102548">
      <w:pPr>
        <w:pStyle w:val="Level2"/>
      </w:pPr>
      <w:r>
        <w:rPr>
          <w:rFonts w:eastAsia="Arial"/>
          <w:lang w:val="fr-CA"/>
        </w:rPr>
        <w:tab/>
        <w:t>FABRICANTS</w:t>
      </w:r>
    </w:p>
    <w:p w14:paraId="55669CCC" w14:textId="77777777" w:rsidR="00356463" w:rsidRDefault="00356463"/>
    <w:p w14:paraId="55669CCD" w14:textId="77777777" w:rsidR="00356463" w:rsidRDefault="00102548">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55669CCE" w14:textId="77777777" w:rsidR="00356463" w:rsidRDefault="00356463">
      <w:pPr>
        <w:pStyle w:val="Level4"/>
        <w:numPr>
          <w:ilvl w:val="0"/>
          <w:numId w:val="0"/>
        </w:numPr>
      </w:pPr>
    </w:p>
    <w:p w14:paraId="55669CCF" w14:textId="77777777" w:rsidR="00356463" w:rsidRDefault="00102548">
      <w:pPr>
        <w:pStyle w:val="Level3"/>
      </w:pPr>
      <w:r>
        <w:rPr>
          <w:rFonts w:eastAsia="Arial"/>
          <w:lang w:val="fr-CA"/>
        </w:rPr>
        <w:tab/>
        <w:t xml:space="preserve">Substitutions : </w:t>
      </w:r>
      <w:r>
        <w:rPr>
          <w:rFonts w:eastAsia="Arial"/>
          <w:color w:val="FF0000"/>
          <w:lang w:val="fr-CA"/>
        </w:rPr>
        <w:t>[Consultez la Division 01.] [Non autorisé.]</w:t>
      </w:r>
    </w:p>
    <w:p w14:paraId="55669CD0" w14:textId="77777777" w:rsidR="00356463" w:rsidRDefault="00356463"/>
    <w:p w14:paraId="55669CD1" w14:textId="77777777" w:rsidR="00356463" w:rsidRDefault="00102548">
      <w:pPr>
        <w:pStyle w:val="Level2"/>
      </w:pPr>
      <w:r>
        <w:rPr>
          <w:rFonts w:eastAsia="Arial"/>
          <w:lang w:val="fr-CA"/>
        </w:rPr>
        <w:tab/>
        <w:t>UNITÉS FABRIQUÉES</w:t>
      </w:r>
    </w:p>
    <w:p w14:paraId="55669CD2" w14:textId="77777777" w:rsidR="00356463" w:rsidRDefault="00356463">
      <w:pPr>
        <w:rPr>
          <w:rFonts w:cs="Arial"/>
          <w:color w:val="0070C0"/>
        </w:rPr>
      </w:pPr>
    </w:p>
    <w:p w14:paraId="55669CD3" w14:textId="77777777" w:rsidR="00356463" w:rsidRDefault="00102548">
      <w:pPr>
        <w:rPr>
          <w:rFonts w:cs="Arial"/>
          <w:color w:val="0070C0"/>
        </w:rPr>
      </w:pPr>
      <w:r>
        <w:rPr>
          <w:rFonts w:eastAsia="Arial" w:cs="Arial"/>
          <w:color w:val="0070C0"/>
          <w:lang w:val="fr-CA"/>
        </w:rPr>
        <w:t>Les boîtiers NEMA sont classés comme suit :</w:t>
      </w:r>
    </w:p>
    <w:p w14:paraId="55669CD4" w14:textId="77777777" w:rsidR="00356463" w:rsidRDefault="00356463">
      <w:pPr>
        <w:rPr>
          <w:rFonts w:cs="Arial"/>
          <w:color w:val="0070C0"/>
        </w:rPr>
      </w:pPr>
    </w:p>
    <w:p w14:paraId="55669CD5" w14:textId="77777777" w:rsidR="00356463" w:rsidRDefault="00102548">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55669CD6" w14:textId="77777777" w:rsidR="00356463" w:rsidRDefault="00356463">
      <w:pPr>
        <w:rPr>
          <w:rFonts w:cs="Arial"/>
          <w:color w:val="0070C0"/>
        </w:rPr>
      </w:pPr>
    </w:p>
    <w:p w14:paraId="55669CD7" w14:textId="77777777" w:rsidR="00356463" w:rsidRDefault="00102548">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55669CD8" w14:textId="77777777" w:rsidR="00356463" w:rsidRDefault="00356463">
      <w:pPr>
        <w:rPr>
          <w:rFonts w:cs="Arial"/>
          <w:color w:val="0070C0"/>
        </w:rPr>
      </w:pPr>
    </w:p>
    <w:p w14:paraId="55669CD9" w14:textId="77777777" w:rsidR="00356463" w:rsidRDefault="00102548">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55669CDA" w14:textId="77777777" w:rsidR="00356463" w:rsidRDefault="00356463">
      <w:pPr>
        <w:rPr>
          <w:rFonts w:cs="Arial"/>
          <w:color w:val="0070C0"/>
        </w:rPr>
      </w:pPr>
    </w:p>
    <w:p w14:paraId="55669CDB" w14:textId="77777777" w:rsidR="00356463" w:rsidRDefault="00102548">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55669CDC" w14:textId="77777777" w:rsidR="00356463" w:rsidRDefault="00356463">
      <w:pPr>
        <w:rPr>
          <w:rFonts w:cs="Arial"/>
          <w:color w:val="0070C0"/>
        </w:rPr>
      </w:pPr>
    </w:p>
    <w:p w14:paraId="55669E13" w14:textId="77777777" w:rsidR="00356463" w:rsidRDefault="00102548">
      <w:pPr>
        <w:rPr>
          <w:rFonts w:cs="Arial"/>
          <w:color w:val="0070C0"/>
        </w:rPr>
      </w:pPr>
      <w:r>
        <w:rPr>
          <w:rFonts w:eastAsia="Arial" w:cs="Arial"/>
          <w:color w:val="0070C0"/>
          <w:lang w:val="fr-CA"/>
        </w:rPr>
        <w:t>Conservez ce qui suit pour un actionneur à arbre intermédiaire de service léger pour les portes articulées à levage élevé ou à levage standard avec de</w:t>
      </w:r>
      <w:r>
        <w:rPr>
          <w:rFonts w:eastAsia="Arial" w:cs="Arial"/>
          <w:color w:val="0070C0"/>
          <w:lang w:val="fr-CA"/>
        </w:rPr>
        <w:t>s assemblages de torsion mesurant jusqu’à 4,3 m (14 pi) de haut ou 5,5 m (18 pi) de large, un maximum de 16,7 m2 (180 pi2), pesant un maximum de 295 kg (650 livres). Reportez-vous à la documentation technique de LiftMaster pour connaître les détails supplé</w:t>
      </w:r>
      <w:r>
        <w:rPr>
          <w:rFonts w:eastAsia="Arial" w:cs="Arial"/>
          <w:color w:val="0070C0"/>
          <w:lang w:val="fr-CA"/>
        </w:rPr>
        <w:t>mentaires du produit.</w:t>
      </w:r>
    </w:p>
    <w:p w14:paraId="55669E14" w14:textId="77777777" w:rsidR="00356463" w:rsidRDefault="00356463">
      <w:pPr>
        <w:rPr>
          <w:rFonts w:cs="Arial"/>
          <w:color w:val="0070C0"/>
        </w:rPr>
      </w:pPr>
    </w:p>
    <w:p w14:paraId="55669E15" w14:textId="77777777" w:rsidR="00356463" w:rsidRDefault="00102548">
      <w:pPr>
        <w:pStyle w:val="Level3"/>
      </w:pPr>
      <w:r>
        <w:rPr>
          <w:rFonts w:eastAsia="Arial"/>
          <w:lang w:val="fr-CA"/>
        </w:rPr>
        <w:tab/>
        <w:t>Actionneurs de porte :</w:t>
      </w:r>
    </w:p>
    <w:p w14:paraId="55669E16" w14:textId="77777777" w:rsidR="00356463" w:rsidRDefault="00102548">
      <w:pPr>
        <w:pStyle w:val="Level4"/>
      </w:pPr>
      <w:r>
        <w:rPr>
          <w:rFonts w:eastAsia="Arial"/>
          <w:lang w:val="fr-CA"/>
        </w:rPr>
        <w:tab/>
        <w:t>Modèle : LJ8900W.</w:t>
      </w:r>
    </w:p>
    <w:p w14:paraId="55669E17" w14:textId="77777777" w:rsidR="00356463" w:rsidRDefault="00102548">
      <w:pPr>
        <w:pStyle w:val="Level4"/>
      </w:pPr>
      <w:r>
        <w:rPr>
          <w:rFonts w:eastAsia="Arial"/>
          <w:lang w:val="fr-CA"/>
        </w:rPr>
        <w:t xml:space="preserve"> </w:t>
      </w:r>
      <w:r>
        <w:rPr>
          <w:rFonts w:eastAsia="Arial"/>
          <w:lang w:val="fr-CA"/>
        </w:rPr>
        <w:tab/>
        <w:t>Fonctionnement : Arbre intermédiaire.</w:t>
      </w:r>
    </w:p>
    <w:p w14:paraId="55669E18" w14:textId="77777777" w:rsidR="00356463" w:rsidRDefault="00102548">
      <w:pPr>
        <w:pStyle w:val="Level4"/>
      </w:pPr>
      <w:r>
        <w:rPr>
          <w:rFonts w:eastAsia="Arial"/>
          <w:lang w:val="fr-CA"/>
        </w:rPr>
        <w:tab/>
        <w:t>Montage : Mur.</w:t>
      </w:r>
    </w:p>
    <w:p w14:paraId="55669E19" w14:textId="77777777" w:rsidR="00356463" w:rsidRDefault="00102548">
      <w:pPr>
        <w:pStyle w:val="Level4"/>
        <w:rPr>
          <w:rFonts w:cs="Arial"/>
        </w:rPr>
      </w:pPr>
      <w:r>
        <w:rPr>
          <w:rFonts w:eastAsia="Arial"/>
          <w:lang w:val="fr-CA"/>
        </w:rPr>
        <w:tab/>
        <w:t xml:space="preserve">Cycle de service homologué : </w:t>
      </w:r>
      <w:r>
        <w:rPr>
          <w:rFonts w:eastAsia="Arial" w:cs="Arial"/>
          <w:shd w:val="clear" w:color="auto" w:fill="FFFFFF"/>
          <w:lang w:val="fr-CA"/>
        </w:rPr>
        <w:t>Maximum de 10 cycles par heure et 25 cycles par jour</w:t>
      </w:r>
      <w:r>
        <w:rPr>
          <w:rFonts w:eastAsia="Arial" w:cs="Arial"/>
          <w:lang w:val="fr-CA"/>
        </w:rPr>
        <w:t>.</w:t>
      </w:r>
    </w:p>
    <w:p w14:paraId="55669E1A" w14:textId="77777777" w:rsidR="00356463" w:rsidRDefault="00102548">
      <w:pPr>
        <w:pStyle w:val="Level4"/>
        <w:rPr>
          <w:rFonts w:cs="Arial"/>
        </w:rPr>
      </w:pPr>
      <w:r>
        <w:rPr>
          <w:rFonts w:eastAsia="Arial" w:cs="Arial"/>
          <w:lang w:val="fr-CA"/>
        </w:rPr>
        <w:t xml:space="preserve"> </w:t>
      </w:r>
      <w:r>
        <w:rPr>
          <w:rFonts w:eastAsia="Arial" w:cs="Arial"/>
          <w:lang w:val="fr-CA"/>
        </w:rPr>
        <w:tab/>
        <w:t>Conforme à la norme UL 325.</w:t>
      </w:r>
    </w:p>
    <w:p w14:paraId="55669E1B" w14:textId="77777777" w:rsidR="00356463" w:rsidRDefault="00102548">
      <w:pPr>
        <w:pStyle w:val="Level4"/>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w:t>
      </w:r>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55669E1C" w14:textId="77777777" w:rsidR="00356463" w:rsidRDefault="00102548">
      <w:pPr>
        <w:pStyle w:val="Level4"/>
        <w:rPr>
          <w:rFonts w:cs="Arial"/>
        </w:rPr>
      </w:pPr>
      <w:r>
        <w:rPr>
          <w:rFonts w:eastAsia="Arial" w:cs="Arial"/>
          <w:lang w:val="fr-CA"/>
        </w:rPr>
        <w:t xml:space="preserve"> </w:t>
      </w:r>
      <w:r>
        <w:rPr>
          <w:rFonts w:eastAsia="Arial" w:cs="Arial"/>
          <w:lang w:val="fr-CA"/>
        </w:rPr>
        <w:tab/>
        <w:t>Enceinte : NEMA 1.</w:t>
      </w:r>
    </w:p>
    <w:p w14:paraId="55669E1D" w14:textId="77777777" w:rsidR="00356463" w:rsidRDefault="00102548">
      <w:pPr>
        <w:pStyle w:val="Level4"/>
      </w:pPr>
      <w:r>
        <w:rPr>
          <w:rFonts w:eastAsia="Arial"/>
          <w:lang w:val="fr-CA"/>
        </w:rPr>
        <w:t xml:space="preserve"> </w:t>
      </w:r>
      <w:r>
        <w:rPr>
          <w:rFonts w:eastAsia="Arial"/>
          <w:lang w:val="fr-CA"/>
        </w:rPr>
        <w:tab/>
      </w:r>
      <w:bookmarkStart w:id="2" w:name="_Hlk63240102"/>
      <w:r>
        <w:rPr>
          <w:rFonts w:eastAsia="Arial"/>
          <w:lang w:val="fr-CA"/>
        </w:rPr>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 xml:space="preserve">Security+ 2.0 intégré; accepte les télécommandes Security+ 2.0 avec technologie de code variable </w:t>
      </w:r>
      <w:r>
        <w:rPr>
          <w:rFonts w:eastAsia="Arial"/>
          <w:lang w:val="fr-CA"/>
        </w:rPr>
        <w:t xml:space="preserve">et les télécommandes de commutateur DIP binaires. </w:t>
      </w:r>
    </w:p>
    <w:p w14:paraId="55669E1E" w14:textId="77777777" w:rsidR="00356463" w:rsidRDefault="00102548">
      <w:pPr>
        <w:pStyle w:val="Level4"/>
      </w:pPr>
      <w:r>
        <w:rPr>
          <w:rFonts w:eastAsia="Arial"/>
          <w:lang w:val="fr-CA"/>
        </w:rPr>
        <w:t xml:space="preserve"> </w:t>
      </w:r>
      <w:r>
        <w:rPr>
          <w:rFonts w:eastAsia="Arial"/>
          <w:lang w:val="fr-CA"/>
        </w:rPr>
        <w:tab/>
        <w:t>Connectivité Internet : Technologie FHSS myQ à 50 canaux.</w:t>
      </w:r>
    </w:p>
    <w:p w14:paraId="55669E1F" w14:textId="77777777" w:rsidR="00356463" w:rsidRDefault="00102548">
      <w:pPr>
        <w:pStyle w:val="SpecPara4"/>
        <w:autoSpaceDE w:val="0"/>
        <w:autoSpaceDN w:val="0"/>
        <w:adjustRightInd w:val="0"/>
        <w:rPr>
          <w:rFonts w:cs="Arial"/>
        </w:rPr>
      </w:pPr>
      <w:r>
        <w:rPr>
          <w:rFonts w:eastAsia="Arial"/>
          <w:lang w:val="fr-CA"/>
        </w:rPr>
        <w:tab/>
      </w:r>
      <w:bookmarkEnd w:id="2"/>
      <w:r>
        <w:rPr>
          <w:rFonts w:eastAsia="Arial"/>
          <w:lang w:val="fr-CA"/>
        </w:rPr>
        <w:t xml:space="preserve">Station de commande : </w:t>
      </w:r>
      <w:r>
        <w:rPr>
          <w:rFonts w:eastAsia="Arial"/>
          <w:color w:val="FF0000"/>
          <w:lang w:val="fr-CA"/>
        </w:rPr>
        <w:t>[Un type de bouton-poussoir.] [Deux types de boutons-poussoirs.] [Trois types de boutons-poussoirs.]</w:t>
      </w:r>
    </w:p>
    <w:p w14:paraId="55669E20" w14:textId="77777777" w:rsidR="00356463" w:rsidRDefault="00102548">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w:t>
      </w:r>
      <w:r>
        <w:rPr>
          <w:rFonts w:eastAsia="Arial"/>
          <w:color w:val="FF0000"/>
          <w:lang w:val="fr-CA"/>
        </w:rPr>
        <w:t xml:space="preserve"> à un bouton.] [Code variable à un bouton Security+ 2.0.] [Code variable à trois boutons Security+ 2.0.]</w:t>
      </w:r>
    </w:p>
    <w:p w14:paraId="55669E21" w14:textId="77777777" w:rsidR="00356463" w:rsidRDefault="00102548">
      <w:pPr>
        <w:pStyle w:val="SpecPara4"/>
        <w:autoSpaceDE w:val="0"/>
        <w:autoSpaceDN w:val="0"/>
        <w:adjustRightInd w:val="0"/>
        <w:rPr>
          <w:rFonts w:cs="Arial"/>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[Rideau lumineux.]</w:t>
      </w:r>
    </w:p>
    <w:p w14:paraId="55669E22" w14:textId="77777777" w:rsidR="00356463" w:rsidRDefault="00102548">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[Rideau lumineux.]</w:t>
      </w:r>
    </w:p>
    <w:p w14:paraId="55669E23" w14:textId="77777777" w:rsidR="00356463" w:rsidRDefault="00102548">
      <w:pPr>
        <w:pStyle w:val="SpecPara4"/>
      </w:pPr>
      <w:r>
        <w:rPr>
          <w:rFonts w:eastAsia="Arial"/>
          <w:lang w:val="fr-CA"/>
        </w:rPr>
        <w:t xml:space="preserve"> </w:t>
      </w:r>
      <w:r>
        <w:rPr>
          <w:rFonts w:eastAsia="Arial"/>
          <w:lang w:val="fr-CA"/>
        </w:rPr>
        <w:tab/>
        <w:t>Moniteur de tension de câble : Inverser la porte lorsqu’un mou excessif du câble a été détecté.</w:t>
      </w:r>
    </w:p>
    <w:p w14:paraId="55669E24" w14:textId="77777777" w:rsidR="00356463" w:rsidRDefault="00356463">
      <w:pPr>
        <w:pStyle w:val="SpecPara4"/>
        <w:numPr>
          <w:ilvl w:val="0"/>
          <w:numId w:val="0"/>
        </w:numPr>
        <w:rPr>
          <w:rFonts w:cs="Arial"/>
          <w:color w:val="0070C0"/>
        </w:rPr>
      </w:pPr>
    </w:p>
    <w:p w14:paraId="55669E25" w14:textId="77777777" w:rsidR="00356463" w:rsidRDefault="00102548">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w:t>
      </w:r>
      <w:r>
        <w:rPr>
          <w:rFonts w:eastAsia="Arial" w:cs="Arial"/>
          <w:color w:val="0070C0"/>
          <w:lang w:val="fr-CA"/>
        </w:rPr>
        <w:t>r de l’aide sur la sélection des accessoires.</w:t>
      </w:r>
    </w:p>
    <w:p w14:paraId="55669E26" w14:textId="77777777" w:rsidR="00356463" w:rsidRDefault="00102548">
      <w:pPr>
        <w:pStyle w:val="SpecPara4"/>
        <w:numPr>
          <w:ilvl w:val="0"/>
          <w:numId w:val="0"/>
        </w:numPr>
        <w:rPr>
          <w:rFonts w:cs="Arial"/>
          <w:color w:val="0070C0"/>
        </w:rPr>
      </w:pPr>
      <w:r>
        <w:rPr>
          <w:rFonts w:cs="Arial"/>
          <w:color w:val="0070C0"/>
        </w:rPr>
        <w:t xml:space="preserve"> </w:t>
      </w:r>
    </w:p>
    <w:p w14:paraId="55669E27" w14:textId="77777777" w:rsidR="00356463" w:rsidRDefault="00102548">
      <w:pPr>
        <w:pStyle w:val="SpecPara4"/>
      </w:pPr>
      <w:r>
        <w:rPr>
          <w:rFonts w:eastAsia="Arial"/>
          <w:lang w:val="fr-CA"/>
        </w:rPr>
        <w:t xml:space="preserve"> </w:t>
      </w:r>
      <w:r>
        <w:rPr>
          <w:rFonts w:eastAsia="Arial"/>
          <w:lang w:val="fr-CA"/>
        </w:rPr>
        <w:tab/>
        <w:t>Verrouillage électrique automatique de la porte.</w:t>
      </w:r>
    </w:p>
    <w:p w14:paraId="55669E28" w14:textId="77777777" w:rsidR="00356463" w:rsidRDefault="00102548">
      <w:pPr>
        <w:pStyle w:val="SpecPara4"/>
      </w:pPr>
      <w:r>
        <w:rPr>
          <w:rFonts w:eastAsia="Arial"/>
          <w:lang w:val="fr-CA"/>
        </w:rPr>
        <w:t xml:space="preserve"> </w:t>
      </w:r>
      <w:r>
        <w:rPr>
          <w:rFonts w:eastAsia="Arial"/>
          <w:lang w:val="fr-CA"/>
        </w:rPr>
        <w:tab/>
        <w:t>Système de batterie de secours.</w:t>
      </w:r>
    </w:p>
    <w:p w14:paraId="55669E29" w14:textId="77777777" w:rsidR="00356463" w:rsidRDefault="00102548">
      <w:pPr>
        <w:pStyle w:val="SpecPara4"/>
      </w:pPr>
      <w:r>
        <w:rPr>
          <w:rFonts w:eastAsia="Arial"/>
          <w:lang w:val="fr-CA"/>
        </w:rPr>
        <w:t xml:space="preserve"> </w:t>
      </w:r>
      <w:r>
        <w:rPr>
          <w:rFonts w:eastAsia="Arial"/>
          <w:lang w:val="fr-CA"/>
        </w:rPr>
        <w:tab/>
        <w:t>Ensemble de montage alterné.</w:t>
      </w:r>
    </w:p>
    <w:p w14:paraId="55669E2A" w14:textId="77777777" w:rsidR="00356463" w:rsidRDefault="00102548">
      <w:pPr>
        <w:pStyle w:val="SpecPara4"/>
      </w:pPr>
      <w:r>
        <w:rPr>
          <w:rFonts w:eastAsia="Arial"/>
          <w:lang w:val="fr-CA"/>
        </w:rPr>
        <w:t xml:space="preserve"> </w:t>
      </w:r>
      <w:r>
        <w:rPr>
          <w:rFonts w:eastAsia="Arial"/>
          <w:lang w:val="fr-CA"/>
        </w:rPr>
        <w:tab/>
        <w:t>Éclairage à DEL à distance myQ.</w:t>
      </w:r>
    </w:p>
    <w:p w14:paraId="55669E2B" w14:textId="77777777" w:rsidR="00356463" w:rsidRDefault="00102548">
      <w:pPr>
        <w:pStyle w:val="SpecPara4"/>
      </w:pPr>
      <w:r>
        <w:rPr>
          <w:rFonts w:eastAsia="Arial"/>
          <w:lang w:val="fr-CA"/>
        </w:rPr>
        <w:t xml:space="preserve"> </w:t>
      </w:r>
      <w:r>
        <w:rPr>
          <w:rFonts w:eastAsia="Arial"/>
          <w:lang w:val="fr-CA"/>
        </w:rPr>
        <w:tab/>
      </w:r>
      <w:r>
        <w:rPr>
          <w:rFonts w:eastAsia="Arial"/>
          <w:color w:val="FF0000"/>
          <w:lang w:val="fr-CA"/>
        </w:rPr>
        <w:t>[KPW5] [KPW250]</w:t>
      </w:r>
      <w:r>
        <w:rPr>
          <w:rFonts w:eastAsia="Arial"/>
          <w:lang w:val="fr-CA"/>
        </w:rPr>
        <w:t xml:space="preserve"> clavier sans fil,</w:t>
      </w:r>
    </w:p>
    <w:p w14:paraId="55669E2C" w14:textId="77777777" w:rsidR="00356463" w:rsidRDefault="00356463">
      <w:pPr>
        <w:pStyle w:val="SpecPara4"/>
        <w:numPr>
          <w:ilvl w:val="0"/>
          <w:numId w:val="0"/>
        </w:numPr>
        <w:rPr>
          <w:rFonts w:cs="Arial"/>
          <w:color w:val="0070C0"/>
        </w:rPr>
      </w:pPr>
    </w:p>
    <w:p w14:paraId="55669EC3" w14:textId="77777777" w:rsidR="00356463" w:rsidRDefault="00102548">
      <w:pPr>
        <w:pStyle w:val="Level1"/>
      </w:pPr>
      <w:r>
        <w:rPr>
          <w:rFonts w:eastAsia="Arial"/>
          <w:bCs/>
          <w:lang w:val="fr-CA"/>
        </w:rPr>
        <w:tab/>
        <w:t>EXÉCUTION</w:t>
      </w:r>
    </w:p>
    <w:p w14:paraId="55669EC4" w14:textId="77777777" w:rsidR="00356463" w:rsidRDefault="00356463"/>
    <w:p w14:paraId="55669EC5" w14:textId="77777777" w:rsidR="00356463" w:rsidRDefault="00102548">
      <w:pPr>
        <w:pStyle w:val="Level2"/>
      </w:pPr>
      <w:r>
        <w:rPr>
          <w:rFonts w:eastAsia="Arial"/>
          <w:lang w:val="fr-CA"/>
        </w:rPr>
        <w:tab/>
        <w:t>INSTALLATION</w:t>
      </w:r>
    </w:p>
    <w:p w14:paraId="55669EC6" w14:textId="77777777" w:rsidR="00356463" w:rsidRDefault="00356463"/>
    <w:p w14:paraId="55669EC7" w14:textId="77777777" w:rsidR="00356463" w:rsidRDefault="00102548">
      <w:pPr>
        <w:pStyle w:val="Level3"/>
      </w:pPr>
      <w:r>
        <w:rPr>
          <w:rFonts w:eastAsia="Arial"/>
          <w:lang w:val="fr-CA"/>
        </w:rPr>
        <w:tab/>
      </w:r>
      <w:r>
        <w:rPr>
          <w:rFonts w:eastAsia="Arial"/>
          <w:lang w:val="fr-CA"/>
        </w:rPr>
        <w:t xml:space="preserve">Installer conformément aux instructions du fabricant. </w:t>
      </w:r>
    </w:p>
    <w:p w14:paraId="55669EC8" w14:textId="77777777" w:rsidR="00356463" w:rsidRDefault="00356463"/>
    <w:p w14:paraId="55669EC9" w14:textId="77777777" w:rsidR="00356463" w:rsidRDefault="00102548">
      <w:pPr>
        <w:pStyle w:val="Level2"/>
      </w:pPr>
      <w:r>
        <w:rPr>
          <w:rFonts w:eastAsia="Arial"/>
          <w:lang w:val="fr-CA"/>
        </w:rPr>
        <w:tab/>
        <w:t>ACTIVITÉS DE CLÔTURE</w:t>
      </w:r>
    </w:p>
    <w:p w14:paraId="55669ECA" w14:textId="77777777" w:rsidR="00356463" w:rsidRDefault="00356463">
      <w:pPr>
        <w:pStyle w:val="Level2"/>
        <w:numPr>
          <w:ilvl w:val="0"/>
          <w:numId w:val="0"/>
        </w:numPr>
      </w:pPr>
    </w:p>
    <w:p w14:paraId="55669ECB" w14:textId="77777777" w:rsidR="00356463" w:rsidRDefault="00102548">
      <w:pPr>
        <w:pStyle w:val="SpecPara3"/>
      </w:pPr>
      <w:r>
        <w:rPr>
          <w:rFonts w:eastAsia="Arial"/>
          <w:lang w:val="fr-CA"/>
        </w:rPr>
        <w:t xml:space="preserve"> </w:t>
      </w:r>
      <w:r>
        <w:rPr>
          <w:rFonts w:eastAsia="Arial"/>
          <w:lang w:val="fr-CA"/>
        </w:rPr>
        <w:tab/>
        <w:t>Tester et ajuster le bon fonctionnement des opérateurs.</w:t>
      </w:r>
    </w:p>
    <w:p w14:paraId="55669ECC" w14:textId="77777777" w:rsidR="00356463" w:rsidRDefault="00356463"/>
    <w:p w14:paraId="55669ECD" w14:textId="77777777" w:rsidR="00356463" w:rsidRDefault="00102548">
      <w:pPr>
        <w:pStyle w:val="Level3"/>
      </w:pPr>
      <w:r>
        <w:rPr>
          <w:rFonts w:eastAsia="Arial"/>
          <w:lang w:val="fr-CA"/>
        </w:rPr>
        <w:tab/>
        <w:t>Démonstration : Démontrer le fonctionnement et la programmation des opérateurs au propriétaire.</w:t>
      </w:r>
    </w:p>
    <w:p w14:paraId="55669ECE" w14:textId="77777777" w:rsidR="00356463" w:rsidRDefault="00356463">
      <w:pPr>
        <w:rPr>
          <w:rFonts w:cs="Arial"/>
        </w:rPr>
      </w:pPr>
    </w:p>
    <w:p w14:paraId="55669ECF" w14:textId="77777777" w:rsidR="00356463" w:rsidRDefault="00356463">
      <w:pPr>
        <w:rPr>
          <w:rFonts w:cs="Arial"/>
        </w:rPr>
      </w:pPr>
    </w:p>
    <w:p w14:paraId="55669ED0" w14:textId="77777777" w:rsidR="00356463" w:rsidRDefault="00102548">
      <w:pPr>
        <w:jc w:val="center"/>
        <w:rPr>
          <w:rFonts w:cs="Arial"/>
        </w:rPr>
      </w:pPr>
      <w:r>
        <w:rPr>
          <w:rFonts w:eastAsia="Arial" w:cs="Arial"/>
          <w:lang w:val="fr-CA"/>
        </w:rPr>
        <w:t>FIN DE LA SECTION</w:t>
      </w:r>
    </w:p>
    <w:sectPr w:rsidR="00356463">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9ED3" w14:textId="77777777" w:rsidR="00356463" w:rsidRDefault="00102548">
      <w:r>
        <w:separator/>
      </w:r>
    </w:p>
  </w:endnote>
  <w:endnote w:type="continuationSeparator" w:id="0">
    <w:p w14:paraId="55669ED4" w14:textId="77777777" w:rsidR="00356463" w:rsidRDefault="001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9" w14:textId="77777777" w:rsidR="00356463" w:rsidRDefault="00356463">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55669EDA" w14:textId="77777777" w:rsidR="00356463" w:rsidRDefault="003564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B" w14:textId="77777777" w:rsidR="00356463" w:rsidRDefault="00356463">
    <w:pPr>
      <w:tabs>
        <w:tab w:val="center" w:pos="5040"/>
        <w:tab w:val="right" w:pos="10079"/>
      </w:tabs>
      <w:rPr>
        <w:rFonts w:cs="Arial"/>
      </w:rPr>
    </w:pPr>
  </w:p>
  <w:p w14:paraId="55669EDC" w14:textId="77777777" w:rsidR="00356463" w:rsidRDefault="00102548">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5669EDD" w14:textId="77777777" w:rsidR="00356463" w:rsidRDefault="00102548">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F" w14:textId="77777777" w:rsidR="00356463" w:rsidRDefault="0035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9ED1" w14:textId="77777777" w:rsidR="00356463" w:rsidRDefault="00102548">
      <w:r>
        <w:separator/>
      </w:r>
    </w:p>
  </w:footnote>
  <w:footnote w:type="continuationSeparator" w:id="0">
    <w:p w14:paraId="55669ED2" w14:textId="77777777" w:rsidR="00356463" w:rsidRDefault="0010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5" w14:textId="77777777" w:rsidR="00356463" w:rsidRDefault="0035646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669ED6" w14:textId="77777777" w:rsidR="00356463" w:rsidRDefault="003564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7" w14:textId="77777777" w:rsidR="00356463" w:rsidRDefault="0035646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669ED8" w14:textId="77777777" w:rsidR="00356463" w:rsidRDefault="003564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DE" w14:textId="77777777" w:rsidR="00356463" w:rsidRDefault="00356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63"/>
    <w:rsid w:val="00102548"/>
    <w:rsid w:val="00356463"/>
    <w:rsid w:val="00B84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69C99"/>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923</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6082</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2022-02-01T14:54:00Z</dcterms:created>
  <dcterms:modified xsi:type="dcterms:W3CDTF">2022-02-01T14:55:00Z</dcterms:modified>
</cp:coreProperties>
</file>