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269C" w14:textId="77777777" w:rsidR="00021DED" w:rsidRDefault="00AC7B39">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bookmarkEnd w:id="0"/>
    <w:p w14:paraId="21AD269D" w14:textId="77777777" w:rsidR="00021DED" w:rsidRDefault="00021DE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commentRangeStart w:id="1"/>
    <w:p w14:paraId="21AD269E" w14:textId="77777777" w:rsidR="00021DED" w:rsidRDefault="00AC7B39">
      <w:pPr>
        <w:rPr>
          <w:rFonts w:cs="Arial"/>
          <w:b/>
          <w:bCs/>
        </w:rPr>
      </w:pPr>
      <w:r>
        <w:rPr>
          <w:rFonts w:cs="Arial"/>
          <w:b/>
          <w:bCs/>
        </w:rPr>
        <w:fldChar w:fldCharType="begin"/>
      </w:r>
      <w:r>
        <w:rPr>
          <w:rFonts w:cs="Arial"/>
          <w:b/>
          <w:bCs/>
        </w:rPr>
        <w:instrText xml:space="preserve"> SEQ CHAPTER \h \r 1</w:instrText>
      </w:r>
      <w:r w:rsidR="006A325C">
        <w:rPr>
          <w:rFonts w:cs="Arial"/>
          <w:b/>
          <w:bCs/>
        </w:rPr>
        <w:fldChar w:fldCharType="separate"/>
      </w:r>
      <w:r>
        <w:rPr>
          <w:rFonts w:cs="Arial"/>
          <w:b/>
          <w:bCs/>
        </w:rPr>
        <w:fldChar w:fldCharType="end"/>
      </w:r>
      <w:r>
        <w:rPr>
          <w:rFonts w:eastAsia="Arial" w:cs="Arial"/>
          <w:b/>
          <w:bCs/>
          <w:lang w:val="fr-CA"/>
        </w:rPr>
        <w:t>SECTION 11 12 33 – BARRIÈRES DE STATIONNEMENT</w:t>
      </w:r>
      <w:commentRangeEnd w:id="1"/>
      <w:r>
        <w:rPr>
          <w:rStyle w:val="CommentReference"/>
        </w:rPr>
        <w:commentReference w:id="1"/>
      </w:r>
    </w:p>
    <w:p w14:paraId="21AD269F" w14:textId="77777777" w:rsidR="00021DED" w:rsidRDefault="00AC7B39">
      <w:pPr>
        <w:pStyle w:val="Level1"/>
      </w:pPr>
      <w:r>
        <w:rPr>
          <w:rFonts w:eastAsia="Arial"/>
          <w:bCs/>
          <w:lang w:val="fr-CA"/>
        </w:rPr>
        <w:tab/>
        <w:t>GÉNÉRALITÉS</w:t>
      </w:r>
    </w:p>
    <w:p w14:paraId="21AD26A0" w14:textId="77777777" w:rsidR="00021DED" w:rsidRDefault="00AC7B39">
      <w:pPr>
        <w:pStyle w:val="Level2"/>
      </w:pPr>
      <w:r>
        <w:rPr>
          <w:rFonts w:eastAsia="Arial"/>
          <w:lang w:val="fr-CA"/>
        </w:rPr>
        <w:tab/>
        <w:t>SOUMISSIONS</w:t>
      </w:r>
    </w:p>
    <w:p w14:paraId="21AD26A1" w14:textId="77777777" w:rsidR="00021DED" w:rsidRDefault="00AC7B39">
      <w:pPr>
        <w:pStyle w:val="Level3"/>
      </w:pPr>
      <w:r>
        <w:rPr>
          <w:rFonts w:eastAsia="Arial"/>
          <w:lang w:val="fr-CA"/>
        </w:rPr>
        <w:tab/>
        <w:t>Soumissions d’action :</w:t>
      </w:r>
    </w:p>
    <w:p w14:paraId="21AD26A2" w14:textId="77777777" w:rsidR="00021DED" w:rsidRDefault="00AC7B39">
      <w:pPr>
        <w:pStyle w:val="Level4"/>
      </w:pPr>
      <w:r>
        <w:rPr>
          <w:rFonts w:eastAsia="Arial"/>
          <w:lang w:val="fr-CA"/>
        </w:rPr>
        <w:tab/>
        <w:t>Données sur le produit : Données descriptives du fabricant et attributs du produit.</w:t>
      </w:r>
    </w:p>
    <w:p w14:paraId="21AD26A3" w14:textId="77777777" w:rsidR="00021DED" w:rsidRDefault="00AC7B39">
      <w:pPr>
        <w:pStyle w:val="Level3"/>
      </w:pPr>
      <w:r>
        <w:rPr>
          <w:rFonts w:eastAsia="Arial"/>
          <w:lang w:val="fr-CA"/>
        </w:rPr>
        <w:tab/>
        <w:t>Soumissions de clôture :</w:t>
      </w:r>
    </w:p>
    <w:p w14:paraId="21AD26A4" w14:textId="77777777" w:rsidR="00021DED" w:rsidRDefault="00AC7B39">
      <w:pPr>
        <w:pStyle w:val="Level4"/>
      </w:pPr>
      <w:r>
        <w:rPr>
          <w:rFonts w:eastAsia="Arial"/>
          <w:lang w:val="fr-CA"/>
        </w:rPr>
        <w:tab/>
        <w:t>Données de fonctionnement et d’entretien.</w:t>
      </w:r>
      <w:bookmarkStart w:id="2" w:name="_Hlk37778670"/>
    </w:p>
    <w:p w14:paraId="21AD26A5" w14:textId="77777777" w:rsidR="00021DED" w:rsidRDefault="00AC7B39">
      <w:pPr>
        <w:pStyle w:val="Level2"/>
      </w:pPr>
      <w:r>
        <w:rPr>
          <w:rFonts w:eastAsia="Arial"/>
          <w:lang w:val="fr-CA"/>
        </w:rPr>
        <w:tab/>
        <w:t>ASSURANCE DE LA QUALITÉ</w:t>
      </w:r>
    </w:p>
    <w:p w14:paraId="21AD26A6" w14:textId="77777777" w:rsidR="00021DED" w:rsidRDefault="00AC7B39">
      <w:pPr>
        <w:pStyle w:val="Level3"/>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21AD26A7" w14:textId="77777777" w:rsidR="00021DED" w:rsidRDefault="00AC7B39">
      <w:pPr>
        <w:pStyle w:val="Level2"/>
      </w:pPr>
      <w:r>
        <w:rPr>
          <w:rFonts w:eastAsia="Arial"/>
          <w:lang w:val="fr-CA"/>
        </w:rPr>
        <w:tab/>
        <w:t>GARANTIE</w:t>
      </w:r>
    </w:p>
    <w:p w14:paraId="21AD26A8" w14:textId="77777777" w:rsidR="00021DED" w:rsidRDefault="00AC7B39">
      <w:pPr>
        <w:pStyle w:val="Level3"/>
      </w:pPr>
      <w:r>
        <w:rPr>
          <w:rFonts w:eastAsia="Arial"/>
          <w:lang w:val="fr-CA"/>
        </w:rPr>
        <w:tab/>
        <w:t>Garanties du fabricant contre tout défaut matériel ou de fabrication.</w:t>
      </w:r>
    </w:p>
    <w:p w14:paraId="21AD26A9" w14:textId="77777777" w:rsidR="00021DED" w:rsidRDefault="00AC7B39">
      <w:pPr>
        <w:pStyle w:val="SpecPara4"/>
      </w:pPr>
      <w:r>
        <w:rPr>
          <w:rFonts w:eastAsia="Arial"/>
          <w:lang w:val="fr-CA"/>
        </w:rPr>
        <w:t xml:space="preserve"> </w:t>
      </w:r>
      <w:r>
        <w:rPr>
          <w:rFonts w:eastAsia="Arial"/>
          <w:lang w:val="fr-CA"/>
        </w:rPr>
        <w:tab/>
        <w:t>Armoire : 10 ans.</w:t>
      </w:r>
    </w:p>
    <w:p w14:paraId="21AD26AA" w14:textId="77777777" w:rsidR="00021DED" w:rsidRDefault="00AC7B39">
      <w:pPr>
        <w:pStyle w:val="SpecPara4"/>
      </w:pPr>
      <w:r>
        <w:rPr>
          <w:rFonts w:eastAsia="Arial"/>
          <w:lang w:val="fr-CA"/>
        </w:rPr>
        <w:t xml:space="preserve"> </w:t>
      </w:r>
      <w:r>
        <w:rPr>
          <w:rFonts w:eastAsia="Arial"/>
          <w:lang w:val="fr-CA"/>
        </w:rPr>
        <w:tab/>
        <w:t>Composants électriques et mécaniques : 2 ans.</w:t>
      </w:r>
    </w:p>
    <w:p w14:paraId="21AD26AB" w14:textId="77777777" w:rsidR="00021DED" w:rsidRDefault="00AC7B39">
      <w:pPr>
        <w:pStyle w:val="Level1"/>
      </w:pPr>
      <w:r>
        <w:rPr>
          <w:rFonts w:eastAsia="Arial"/>
          <w:bCs/>
          <w:lang w:val="fr-CA"/>
        </w:rPr>
        <w:tab/>
        <w:t>PRODUITS</w:t>
      </w:r>
    </w:p>
    <w:p w14:paraId="21AD26AC" w14:textId="77777777" w:rsidR="00021DED" w:rsidRDefault="00AC7B39">
      <w:pPr>
        <w:pStyle w:val="Level2"/>
      </w:pPr>
      <w:r>
        <w:rPr>
          <w:rFonts w:eastAsia="Arial"/>
          <w:lang w:val="fr-CA"/>
        </w:rPr>
        <w:tab/>
        <w:t>FABRICANTS</w:t>
      </w:r>
    </w:p>
    <w:p w14:paraId="21AD26AD" w14:textId="77777777" w:rsidR="00021DED" w:rsidRDefault="00AC7B39">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21AD26AE" w14:textId="77777777" w:rsidR="00021DED" w:rsidRDefault="00AC7B39">
      <w:pPr>
        <w:pStyle w:val="Level3"/>
      </w:pPr>
      <w:r>
        <w:rPr>
          <w:rFonts w:eastAsia="Arial"/>
          <w:lang w:val="fr-CA"/>
        </w:rPr>
        <w:tab/>
        <w:t xml:space="preserve">Substitutions : </w:t>
      </w:r>
      <w:r>
        <w:rPr>
          <w:rFonts w:eastAsia="Arial"/>
          <w:color w:val="FF0000"/>
          <w:lang w:val="fr-CA"/>
        </w:rPr>
        <w:t>[Consultez la Division 01.] [Non autorisé.]</w:t>
      </w:r>
    </w:p>
    <w:p w14:paraId="21AD26AF" w14:textId="77777777" w:rsidR="00021DED" w:rsidRDefault="00AC7B39">
      <w:pPr>
        <w:pStyle w:val="Level2"/>
      </w:pPr>
      <w:r>
        <w:rPr>
          <w:rFonts w:eastAsia="Arial"/>
          <w:lang w:val="fr-CA"/>
        </w:rPr>
        <w:tab/>
        <w:t>UNITÉS FABRIQUÉES</w:t>
      </w:r>
    </w:p>
    <w:p w14:paraId="21AD26DA" w14:textId="77777777" w:rsidR="00021DED" w:rsidRDefault="00AC7B39">
      <w:pPr>
        <w:pStyle w:val="Level3"/>
      </w:pPr>
      <w:r>
        <w:rPr>
          <w:rFonts w:eastAsia="Arial"/>
          <w:lang w:val="fr-CA"/>
        </w:rPr>
        <w:tab/>
        <w:t>Barrières de stationnement :</w:t>
      </w:r>
    </w:p>
    <w:p w14:paraId="21AD26DB" w14:textId="77777777" w:rsidR="00021DED" w:rsidRDefault="00AC7B39">
      <w:pPr>
        <w:pStyle w:val="Level4"/>
      </w:pPr>
      <w:r>
        <w:rPr>
          <w:rFonts w:eastAsia="Arial"/>
          <w:lang w:val="fr-CA"/>
        </w:rPr>
        <w:tab/>
        <w:t>Modèle : BG790.</w:t>
      </w:r>
    </w:p>
    <w:p w14:paraId="21AD26DC" w14:textId="77777777" w:rsidR="00021DED" w:rsidRDefault="00AC7B39">
      <w:pPr>
        <w:pStyle w:val="Level4"/>
      </w:pPr>
      <w:r>
        <w:rPr>
          <w:rFonts w:eastAsia="Arial"/>
          <w:lang w:val="fr-CA"/>
        </w:rPr>
        <w:t xml:space="preserve"> </w:t>
      </w:r>
      <w:r>
        <w:rPr>
          <w:rFonts w:eastAsia="Arial"/>
          <w:lang w:val="fr-CA"/>
        </w:rPr>
        <w:tab/>
        <w:t>Fonctionnement : Réducteur d’engrenage.</w:t>
      </w:r>
    </w:p>
    <w:p w14:paraId="21AD26DD" w14:textId="77777777" w:rsidR="00021DED" w:rsidRDefault="00AC7B39">
      <w:pPr>
        <w:pStyle w:val="Level4"/>
      </w:pPr>
      <w:r>
        <w:rPr>
          <w:rFonts w:eastAsia="Arial"/>
          <w:lang w:val="fr-CA"/>
        </w:rPr>
        <w:t xml:space="preserve"> </w:t>
      </w:r>
      <w:r>
        <w:rPr>
          <w:rFonts w:eastAsia="Arial"/>
          <w:lang w:val="fr-CA"/>
        </w:rPr>
        <w:tab/>
        <w:t>Conforme à la norme UL 325.</w:t>
      </w:r>
    </w:p>
    <w:p w14:paraId="21AD26DE" w14:textId="77777777" w:rsidR="00021DED" w:rsidRDefault="00AC7B39">
      <w:pPr>
        <w:pStyle w:val="Level4"/>
        <w:rPr>
          <w:rFonts w:cs="Arial"/>
        </w:rPr>
      </w:pPr>
      <w:r>
        <w:rPr>
          <w:rFonts w:eastAsia="Arial"/>
          <w:lang w:val="fr-CA"/>
        </w:rPr>
        <w:tab/>
        <w:t>Cycle de service homologué : Maximum 6 000 par jour.</w:t>
      </w:r>
    </w:p>
    <w:p w14:paraId="21AD26DF" w14:textId="77777777" w:rsidR="00021DED" w:rsidRDefault="00AC7B39">
      <w:pPr>
        <w:pStyle w:val="Level4"/>
        <w:rPr>
          <w:rFonts w:cs="Arial"/>
        </w:rPr>
      </w:pPr>
      <w:r>
        <w:rPr>
          <w:rFonts w:eastAsia="Arial" w:cs="Arial"/>
          <w:lang w:val="fr-CA"/>
        </w:rPr>
        <w:t xml:space="preserve"> </w:t>
      </w:r>
      <w:r>
        <w:rPr>
          <w:rFonts w:eastAsia="Arial" w:cs="Arial"/>
          <w:lang w:val="fr-CA"/>
        </w:rPr>
        <w:tab/>
        <w:t xml:space="preserve">Vitesse d’ouverture : 11 secondes. </w:t>
      </w:r>
    </w:p>
    <w:p w14:paraId="21AD26E0" w14:textId="77777777" w:rsidR="00021DED" w:rsidRDefault="00AC7B39">
      <w:pPr>
        <w:pStyle w:val="Level4"/>
        <w:rPr>
          <w:rFonts w:cs="Arial"/>
        </w:rPr>
      </w:pPr>
      <w:r>
        <w:rPr>
          <w:rFonts w:eastAsia="Arial" w:cs="Arial"/>
          <w:lang w:val="fr-CA"/>
        </w:rPr>
        <w:t xml:space="preserve"> </w:t>
      </w:r>
      <w:r>
        <w:rPr>
          <w:rFonts w:eastAsia="Arial" w:cs="Arial"/>
          <w:lang w:val="fr-CA"/>
        </w:rPr>
        <w:tab/>
        <w:t>Bras de barrière : Type Wishbone, rouge et blanc, 24 pi de long, contrepoids.</w:t>
      </w:r>
    </w:p>
    <w:p w14:paraId="21AD26E1" w14:textId="77777777" w:rsidR="00021DED" w:rsidRDefault="00AC7B39">
      <w:pPr>
        <w:pStyle w:val="Level4"/>
        <w:rPr>
          <w:rFonts w:cs="Arial"/>
        </w:rPr>
      </w:pPr>
      <w:r>
        <w:rPr>
          <w:rFonts w:eastAsia="Arial" w:cs="Arial"/>
          <w:lang w:val="fr-CA"/>
        </w:rPr>
        <w:t xml:space="preserve"> </w:t>
      </w:r>
      <w:r>
        <w:rPr>
          <w:rFonts w:eastAsia="Arial" w:cs="Arial"/>
          <w:lang w:val="fr-CA"/>
        </w:rPr>
        <w:tab/>
        <w:t>Moteur : 24 V </w:t>
      </w:r>
      <w:proofErr w:type="spellStart"/>
      <w:r>
        <w:rPr>
          <w:rFonts w:eastAsia="Arial" w:cs="Arial"/>
          <w:lang w:val="fr-CA"/>
        </w:rPr>
        <w:t>c.c</w:t>
      </w:r>
      <w:proofErr w:type="spellEnd"/>
      <w:r>
        <w:rPr>
          <w:rFonts w:eastAsia="Arial" w:cs="Arial"/>
          <w:lang w:val="fr-CA"/>
        </w:rPr>
        <w:t xml:space="preserve">., service continu,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w:t>
      </w:r>
    </w:p>
    <w:p w14:paraId="21AD26E2" w14:textId="77777777" w:rsidR="00021DED" w:rsidRDefault="00AC7B39">
      <w:pPr>
        <w:pStyle w:val="Level4"/>
      </w:pPr>
      <w:r>
        <w:rPr>
          <w:rFonts w:eastAsia="Arial"/>
          <w:lang w:val="fr-CA"/>
        </w:rPr>
        <w:t xml:space="preserve"> </w:t>
      </w:r>
      <w:r>
        <w:rPr>
          <w:rFonts w:eastAsia="Arial"/>
          <w:lang w:val="fr-CA"/>
        </w:rPr>
        <w:tab/>
        <w:t xml:space="preserve">Commandes : Système de gestion d’accès séquentiel. </w:t>
      </w:r>
      <w:r>
        <w:rPr>
          <w:rFonts w:eastAsia="Arial" w:cs="Arial"/>
          <w:color w:val="0070C0"/>
          <w:lang w:val="fr-CA"/>
        </w:rPr>
        <w:t xml:space="preserve"> </w:t>
      </w:r>
    </w:p>
    <w:p w14:paraId="21AD26E3" w14:textId="77777777" w:rsidR="00021DED" w:rsidRDefault="00AC7B39">
      <w:pPr>
        <w:pStyle w:val="SpecPara4"/>
      </w:pPr>
      <w:r>
        <w:rPr>
          <w:rFonts w:eastAsia="Arial"/>
          <w:lang w:val="fr-CA"/>
        </w:rPr>
        <w:t xml:space="preserve"> </w:t>
      </w:r>
      <w:r>
        <w:rPr>
          <w:rFonts w:eastAsia="Arial"/>
          <w:lang w:val="fr-CA"/>
        </w:rPr>
        <w:tab/>
        <w:t xml:space="preserve">Cellule photoélectrique </w:t>
      </w:r>
      <w:proofErr w:type="spellStart"/>
      <w:r>
        <w:rPr>
          <w:rFonts w:eastAsia="Arial"/>
          <w:lang w:val="fr-CA"/>
        </w:rPr>
        <w:t>rétro-réfléchissante</w:t>
      </w:r>
      <w:proofErr w:type="spellEnd"/>
      <w:r>
        <w:rPr>
          <w:rFonts w:eastAsia="Arial"/>
          <w:lang w:val="fr-CA"/>
        </w:rPr>
        <w:t>.</w:t>
      </w:r>
    </w:p>
    <w:p w14:paraId="21AD26E4" w14:textId="77777777" w:rsidR="00021DED" w:rsidRDefault="00AC7B39">
      <w:pPr>
        <w:pStyle w:val="Level4"/>
      </w:pPr>
      <w:r>
        <w:rPr>
          <w:rFonts w:eastAsia="Arial"/>
          <w:lang w:val="fr-CA"/>
        </w:rPr>
        <w:t xml:space="preserve"> </w:t>
      </w:r>
      <w:r>
        <w:rPr>
          <w:rFonts w:eastAsia="Arial"/>
          <w:lang w:val="fr-CA"/>
        </w:rPr>
        <w:tab/>
        <w:t xml:space="preserve">Récepteur radio Security+ 2.0 : </w:t>
      </w:r>
      <w:r>
        <w:rPr>
          <w:sz w:val="24"/>
          <w:szCs w:val="24"/>
          <w:lang w:val="en-CA"/>
        </w:rPr>
        <w:fldChar w:fldCharType="begin"/>
      </w:r>
      <w:r>
        <w:rPr>
          <w:sz w:val="24"/>
          <w:szCs w:val="24"/>
          <w:lang w:val="en-CA"/>
        </w:rPr>
        <w:instrText xml:space="preserve"> SEQ CHAPTER \h \r 1</w:instrText>
      </w:r>
      <w:r w:rsidR="006A325C">
        <w:rPr>
          <w:sz w:val="24"/>
          <w:szCs w:val="24"/>
          <w:lang w:val="en-CA"/>
        </w:rPr>
        <w:fldChar w:fldCharType="separate"/>
      </w:r>
      <w:r>
        <w:rPr>
          <w:sz w:val="24"/>
          <w:szCs w:val="24"/>
          <w:lang w:val="en-CA"/>
        </w:rPr>
        <w:fldChar w:fldCharType="end"/>
      </w:r>
      <w:r>
        <w:rPr>
          <w:rFonts w:eastAsia="Arial"/>
          <w:lang w:val="fr-CA"/>
        </w:rPr>
        <w:t xml:space="preserve">Accepte les télécommandes avec technologie de code variable Security+ 2.0 et les télécommandes de commutateur DIP binaires. </w:t>
      </w:r>
      <w:r>
        <w:rPr>
          <w:rFonts w:eastAsia="Arial"/>
          <w:color w:val="FF0000"/>
          <w:lang w:val="fr-CA"/>
        </w:rPr>
        <w:t>[Télécommande DIP à un bouton.] [Télécommande DIP à trois boutons.] [Télécommande Security+ 2.0 avec code variable à deux boutons.] [Télécommande Security+ 2.0 avec code variable à quatre boutons.]</w:t>
      </w:r>
    </w:p>
    <w:p w14:paraId="21AD26E5" w14:textId="77777777" w:rsidR="00021DED" w:rsidRDefault="00AC7B39">
      <w:pPr>
        <w:pStyle w:val="SpecPara4"/>
        <w:rPr>
          <w:color w:val="000000" w:themeColor="text1"/>
        </w:rPr>
      </w:pPr>
      <w:r>
        <w:rPr>
          <w:rFonts w:eastAsia="Arial"/>
          <w:lang w:val="fr-CA"/>
        </w:rPr>
        <w:tab/>
        <w:t xml:space="preserve">Détecteurs de boucle </w:t>
      </w:r>
      <w:r>
        <w:rPr>
          <w:rFonts w:eastAsia="Arial"/>
          <w:color w:val="000000"/>
          <w:lang w:val="fr-CA"/>
        </w:rPr>
        <w:t>à faible puissance</w:t>
      </w:r>
      <w:r>
        <w:rPr>
          <w:rFonts w:eastAsia="Arial"/>
          <w:lang w:val="fr-CA"/>
        </w:rPr>
        <w:t>.</w:t>
      </w:r>
    </w:p>
    <w:p w14:paraId="21AD26E6" w14:textId="77777777" w:rsidR="00021DED" w:rsidRDefault="00AC7B39">
      <w:pPr>
        <w:pStyle w:val="SpecPara4"/>
        <w:rPr>
          <w:rFonts w:cs="Arial"/>
          <w:color w:val="000000" w:themeColor="text1"/>
        </w:rPr>
      </w:pPr>
      <w:r>
        <w:rPr>
          <w:rFonts w:eastAsia="Arial"/>
          <w:color w:val="000000"/>
          <w:lang w:val="fr-CA"/>
        </w:rPr>
        <w:t xml:space="preserve"> </w:t>
      </w:r>
      <w:r>
        <w:rPr>
          <w:rFonts w:eastAsia="Arial"/>
          <w:color w:val="000000"/>
          <w:lang w:val="fr-CA"/>
        </w:rPr>
        <w:tab/>
        <w:t>Configuration primaire/secondaire</w:t>
      </w:r>
    </w:p>
    <w:p w14:paraId="21AD26E7" w14:textId="77777777" w:rsidR="00021DED" w:rsidRDefault="00AC7B39">
      <w:pPr>
        <w:pStyle w:val="SpecPara4"/>
        <w:rPr>
          <w:rFonts w:cs="Arial"/>
          <w:color w:val="000000" w:themeColor="text1"/>
        </w:rPr>
      </w:pPr>
      <w:r>
        <w:rPr>
          <w:rFonts w:eastAsia="Arial"/>
          <w:color w:val="000000"/>
          <w:lang w:val="fr-CA"/>
        </w:rPr>
        <w:t xml:space="preserve"> </w:t>
      </w:r>
      <w:r>
        <w:rPr>
          <w:rFonts w:eastAsia="Arial"/>
          <w:color w:val="000000"/>
          <w:lang w:val="fr-CA"/>
        </w:rPr>
        <w:tab/>
        <w:t>Minuterie de fermeture.</w:t>
      </w:r>
    </w:p>
    <w:p w14:paraId="21AD26E8" w14:textId="77777777" w:rsidR="00021DED" w:rsidRDefault="00AC7B39">
      <w:pPr>
        <w:pStyle w:val="SpecPara4"/>
        <w:rPr>
          <w:rFonts w:cs="Arial"/>
          <w:color w:val="000000" w:themeColor="text1"/>
        </w:rPr>
      </w:pPr>
      <w:r>
        <w:rPr>
          <w:rFonts w:eastAsia="Arial"/>
          <w:color w:val="000000"/>
          <w:lang w:val="fr-CA"/>
        </w:rPr>
        <w:t xml:space="preserve"> </w:t>
      </w:r>
      <w:r>
        <w:rPr>
          <w:rFonts w:eastAsia="Arial"/>
          <w:color w:val="000000"/>
          <w:lang w:val="fr-CA"/>
        </w:rPr>
        <w:tab/>
        <w:t>Chauffage.</w:t>
      </w:r>
    </w:p>
    <w:p w14:paraId="21AD26E9" w14:textId="77777777" w:rsidR="00021DED" w:rsidRDefault="00021DED">
      <w:pPr>
        <w:pStyle w:val="SpecPara4"/>
        <w:numPr>
          <w:ilvl w:val="0"/>
          <w:numId w:val="0"/>
        </w:numPr>
        <w:jc w:val="center"/>
        <w:rPr>
          <w:color w:val="FF0000"/>
        </w:rPr>
      </w:pPr>
    </w:p>
    <w:p w14:paraId="21AD2714" w14:textId="77777777" w:rsidR="00021DED" w:rsidRDefault="00AC7B39">
      <w:pPr>
        <w:pStyle w:val="Level1"/>
      </w:pPr>
      <w:r>
        <w:rPr>
          <w:rFonts w:eastAsia="Arial"/>
          <w:bCs/>
          <w:lang w:val="fr-CA"/>
        </w:rPr>
        <w:lastRenderedPageBreak/>
        <w:tab/>
        <w:t>EXÉCUTION</w:t>
      </w:r>
    </w:p>
    <w:p w14:paraId="21AD2715" w14:textId="77777777" w:rsidR="00021DED" w:rsidRDefault="00AC7B39">
      <w:pPr>
        <w:pStyle w:val="Level2"/>
      </w:pPr>
      <w:r>
        <w:rPr>
          <w:rFonts w:eastAsia="Arial"/>
          <w:lang w:val="fr-CA"/>
        </w:rPr>
        <w:tab/>
        <w:t>INSTALLATION</w:t>
      </w:r>
    </w:p>
    <w:p w14:paraId="21AD2716" w14:textId="77777777" w:rsidR="00021DED" w:rsidRDefault="00AC7B39">
      <w:pPr>
        <w:pStyle w:val="Level3"/>
      </w:pPr>
      <w:r>
        <w:rPr>
          <w:rFonts w:eastAsia="Arial"/>
          <w:lang w:val="fr-CA"/>
        </w:rPr>
        <w:tab/>
        <w:t xml:space="preserve">Installer conformément aux instructions du fabricant. </w:t>
      </w:r>
    </w:p>
    <w:p w14:paraId="21AD2717" w14:textId="77777777" w:rsidR="00021DED" w:rsidRDefault="00AC7B39">
      <w:pPr>
        <w:pStyle w:val="Level2"/>
      </w:pPr>
      <w:r>
        <w:rPr>
          <w:rFonts w:eastAsia="Arial"/>
          <w:lang w:val="fr-CA"/>
        </w:rPr>
        <w:tab/>
        <w:t>ACTIVITÉS DE CLÔTURE</w:t>
      </w:r>
    </w:p>
    <w:p w14:paraId="21AD2718" w14:textId="77777777" w:rsidR="00021DED" w:rsidRDefault="00AC7B39">
      <w:pPr>
        <w:pStyle w:val="Level3"/>
      </w:pPr>
      <w:r>
        <w:rPr>
          <w:rFonts w:eastAsia="Arial"/>
          <w:lang w:val="fr-CA"/>
        </w:rPr>
        <w:t xml:space="preserve"> </w:t>
      </w:r>
      <w:r>
        <w:rPr>
          <w:rFonts w:eastAsia="Arial"/>
          <w:lang w:val="fr-CA"/>
        </w:rPr>
        <w:tab/>
        <w:t>Tester et ajuster le bon fonctionnement des opérateurs.</w:t>
      </w:r>
    </w:p>
    <w:p w14:paraId="21AD2719" w14:textId="77777777" w:rsidR="00021DED" w:rsidRDefault="00AC7B39">
      <w:pPr>
        <w:pStyle w:val="Level3"/>
      </w:pPr>
      <w:r>
        <w:rPr>
          <w:rFonts w:eastAsia="Arial"/>
          <w:lang w:val="fr-CA"/>
        </w:rPr>
        <w:tab/>
        <w:t>Démonstration : Démontrer le fonctionnement et la programmation des opérateurs au propriétaire.</w:t>
      </w:r>
    </w:p>
    <w:p w14:paraId="21AD271A" w14:textId="77777777" w:rsidR="00021DED" w:rsidRDefault="00021DED">
      <w:pPr>
        <w:rPr>
          <w:rFonts w:cs="Arial"/>
        </w:rPr>
      </w:pPr>
    </w:p>
    <w:p w14:paraId="21AD271B" w14:textId="77777777" w:rsidR="00021DED" w:rsidRDefault="00021DED">
      <w:pPr>
        <w:rPr>
          <w:rFonts w:cs="Arial"/>
        </w:rPr>
      </w:pPr>
    </w:p>
    <w:p w14:paraId="21AD271C" w14:textId="77777777" w:rsidR="00021DED" w:rsidRDefault="00AC7B39">
      <w:pPr>
        <w:jc w:val="center"/>
        <w:rPr>
          <w:rFonts w:cs="Arial"/>
        </w:rPr>
      </w:pPr>
      <w:r>
        <w:rPr>
          <w:rFonts w:eastAsia="Arial" w:cs="Arial"/>
          <w:lang w:val="fr-CA"/>
        </w:rPr>
        <w:t>FIN DE LA SECTION</w:t>
      </w:r>
    </w:p>
    <w:sectPr w:rsidR="00021DED">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26:00Z" w:initials="ZD">
    <w:p w14:paraId="21AD271D" w14:textId="446E0514" w:rsidR="00021DED" w:rsidRDefault="00AC7B39">
      <w:pPr>
        <w:pStyle w:val="CommentText"/>
      </w:pPr>
      <w:r>
        <w:rPr>
          <w:rStyle w:val="CommentReference"/>
        </w:rPr>
        <w:annotationRef/>
      </w:r>
    </w:p>
    <w:p w14:paraId="6E98E166" w14:textId="77777777" w:rsidR="00EB515B" w:rsidRDefault="00EB515B" w:rsidP="00EB515B">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barrières de contrôle pour le stationnement.</w:t>
      </w:r>
    </w:p>
    <w:p w14:paraId="7A0C0B93" w14:textId="77777777" w:rsidR="00EB515B" w:rsidRDefault="00EB515B" w:rsidP="00EB515B">
      <w:pPr>
        <w:pStyle w:val="CommentText"/>
        <w:rPr>
          <w:lang w:val="fr-FR"/>
        </w:rPr>
      </w:pPr>
    </w:p>
    <w:p w14:paraId="3B24FA9E" w14:textId="77777777" w:rsidR="00EB515B" w:rsidRDefault="00EB515B" w:rsidP="00EB515B">
      <w:pPr>
        <w:pStyle w:val="CommentText"/>
        <w:rPr>
          <w:lang w:val="fr-FR"/>
        </w:rPr>
      </w:pPr>
      <w:r>
        <w:rPr>
          <w:rFonts w:eastAsia="Arial"/>
          <w:color w:val="0070C0"/>
          <w:lang w:val="fr-CA"/>
        </w:rPr>
        <w:t>Les éléments suivants doivent être notés dans l’utilisation de cette spécification :</w:t>
      </w:r>
    </w:p>
    <w:p w14:paraId="14AF4EC0" w14:textId="77777777" w:rsidR="00EB515B" w:rsidRDefault="00EB515B" w:rsidP="00EB515B">
      <w:pPr>
        <w:pStyle w:val="CommentText"/>
        <w:rPr>
          <w:lang w:val="fr-FR"/>
        </w:rPr>
      </w:pPr>
    </w:p>
    <w:p w14:paraId="246CDCF1" w14:textId="77777777" w:rsidR="00EB515B" w:rsidRDefault="00EB515B" w:rsidP="00EB515B">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7F64BE12" w14:textId="77777777" w:rsidR="00EB515B" w:rsidRDefault="00EB515B" w:rsidP="00EB515B">
      <w:pPr>
        <w:pStyle w:val="CommentText"/>
        <w:rPr>
          <w:lang w:val="fr-FR"/>
        </w:rPr>
      </w:pPr>
    </w:p>
    <w:p w14:paraId="56DCC567" w14:textId="77777777" w:rsidR="00EB515B" w:rsidRDefault="00EB515B" w:rsidP="00EB515B">
      <w:pPr>
        <w:pStyle w:val="CommentText"/>
        <w:rPr>
          <w:lang w:val="fr-FR"/>
        </w:rPr>
      </w:pPr>
      <w:r>
        <w:rPr>
          <w:rFonts w:eastAsia="Arial"/>
          <w:color w:val="0070C0"/>
          <w:lang w:val="fr-CA"/>
        </w:rPr>
        <w:t xml:space="preserve">www.acme.com  </w:t>
      </w:r>
    </w:p>
    <w:p w14:paraId="6E8DECD6" w14:textId="77777777" w:rsidR="00EB515B" w:rsidRDefault="00EB515B" w:rsidP="00EB515B">
      <w:pPr>
        <w:pStyle w:val="CommentText"/>
        <w:rPr>
          <w:lang w:val="fr-FR"/>
        </w:rPr>
      </w:pPr>
    </w:p>
    <w:p w14:paraId="55C3C793" w14:textId="77777777" w:rsidR="00EB515B" w:rsidRDefault="00EB515B" w:rsidP="00EB515B">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52CC39BA" w14:textId="77777777" w:rsidR="00EB515B" w:rsidRDefault="00EB515B" w:rsidP="00EB515B">
      <w:pPr>
        <w:pStyle w:val="CommentText"/>
        <w:rPr>
          <w:lang w:val="fr-FR"/>
        </w:rPr>
      </w:pPr>
    </w:p>
    <w:p w14:paraId="7FCF80EA" w14:textId="77777777" w:rsidR="00EB515B" w:rsidRDefault="00EB515B" w:rsidP="00EB515B">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569183DF" w14:textId="77777777" w:rsidR="00EB515B" w:rsidRDefault="00EB515B" w:rsidP="00EB515B">
      <w:pPr>
        <w:pStyle w:val="CommentText"/>
        <w:rPr>
          <w:lang w:val="fr-FR"/>
        </w:rPr>
      </w:pPr>
    </w:p>
    <w:p w14:paraId="277CED63" w14:textId="77777777" w:rsidR="00EB515B" w:rsidRDefault="00EB515B" w:rsidP="00EB515B">
      <w:pPr>
        <w:pStyle w:val="CommentText"/>
        <w:rPr>
          <w:lang w:val="fr-FR"/>
        </w:rPr>
      </w:pPr>
      <w:r>
        <w:rPr>
          <w:rFonts w:eastAsia="Arial"/>
          <w:color w:val="0070C0"/>
          <w:lang w:val="fr-CA"/>
        </w:rPr>
        <w:t>Les paragraphes facultatifs sont séparés par une instruction « OU » affichée en rouge, p. ex. :</w:t>
      </w:r>
    </w:p>
    <w:p w14:paraId="7EABAD9A" w14:textId="77777777" w:rsidR="00EB515B" w:rsidRDefault="00EB515B" w:rsidP="00EB515B">
      <w:pPr>
        <w:pStyle w:val="CommentText"/>
        <w:rPr>
          <w:lang w:val="fr-FR"/>
        </w:rPr>
      </w:pPr>
    </w:p>
    <w:p w14:paraId="1B2FE775" w14:textId="77777777" w:rsidR="00EB515B" w:rsidRDefault="00EB515B" w:rsidP="00EB515B">
      <w:pPr>
        <w:pStyle w:val="CommentText"/>
        <w:rPr>
          <w:lang w:val="fr-FR"/>
        </w:rPr>
      </w:pPr>
      <w:r>
        <w:rPr>
          <w:rFonts w:eastAsia="Arial"/>
          <w:color w:val="0070C0"/>
          <w:lang w:val="fr-CA"/>
        </w:rPr>
        <w:tab/>
      </w:r>
      <w:r>
        <w:rPr>
          <w:rFonts w:eastAsia="Arial"/>
          <w:color w:val="FF0000"/>
          <w:lang w:val="fr-CA"/>
        </w:rPr>
        <w:t>**** OU ****</w:t>
      </w:r>
    </w:p>
    <w:p w14:paraId="17CF2662" w14:textId="77777777" w:rsidR="00EB515B" w:rsidRDefault="00EB515B" w:rsidP="00EB515B">
      <w:pPr>
        <w:pStyle w:val="CommentText"/>
        <w:rPr>
          <w:lang w:val="fr-FR"/>
        </w:rPr>
      </w:pPr>
    </w:p>
    <w:p w14:paraId="01003DE5" w14:textId="77777777" w:rsidR="00EB515B" w:rsidRDefault="00EB515B" w:rsidP="00EB515B">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015327D4" w14:textId="77777777" w:rsidR="00EB515B" w:rsidRDefault="00EB515B" w:rsidP="00EB515B">
      <w:pPr>
        <w:pStyle w:val="CommentText"/>
        <w:rPr>
          <w:lang w:val="fr-FR"/>
        </w:rPr>
      </w:pPr>
    </w:p>
    <w:p w14:paraId="21AD271E" w14:textId="6E2B94E1" w:rsidR="00021DED" w:rsidRDefault="00EB515B" w:rsidP="00EB515B">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AD27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D271E" w16cid:durableId="263740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E301" w14:textId="77777777" w:rsidR="006A325C" w:rsidRDefault="006A325C">
      <w:r>
        <w:separator/>
      </w:r>
    </w:p>
  </w:endnote>
  <w:endnote w:type="continuationSeparator" w:id="0">
    <w:p w14:paraId="1A464B7F" w14:textId="77777777" w:rsidR="006A325C" w:rsidRDefault="006A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7" w14:textId="77777777" w:rsidR="00021DED" w:rsidRDefault="00021DE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1AD2728" w14:textId="77777777" w:rsidR="00021DED" w:rsidRDefault="00021D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9" w14:textId="77777777" w:rsidR="00021DED" w:rsidRDefault="00021DED">
    <w:pPr>
      <w:tabs>
        <w:tab w:val="center" w:pos="5040"/>
        <w:tab w:val="right" w:pos="10079"/>
      </w:tabs>
      <w:rPr>
        <w:rFonts w:cs="Arial"/>
      </w:rPr>
    </w:pPr>
  </w:p>
  <w:p w14:paraId="21AD272A" w14:textId="77777777" w:rsidR="00021DED" w:rsidRDefault="00AC7B39">
    <w:pPr>
      <w:tabs>
        <w:tab w:val="center" w:pos="5040"/>
        <w:tab w:val="right" w:pos="10079"/>
      </w:tabs>
      <w:rPr>
        <w:rFonts w:cs="Arial"/>
      </w:rPr>
    </w:pPr>
    <w:r>
      <w:rPr>
        <w:rFonts w:eastAsia="Arial" w:cs="Arial"/>
        <w:lang w:val="fr-CA"/>
      </w:rPr>
      <w:t>Barrières de stationnement</w:t>
    </w:r>
    <w:r>
      <w:rPr>
        <w:rFonts w:eastAsia="Arial" w:cs="Arial"/>
        <w:lang w:val="fr-CA"/>
      </w:rPr>
      <w:tab/>
    </w:r>
    <w:r>
      <w:rPr>
        <w:rFonts w:eastAsia="Arial" w:cs="Arial"/>
        <w:lang w:val="fr-CA"/>
      </w:rPr>
      <w:tab/>
      <w:t>11 12 33-</w:t>
    </w:r>
    <w:r>
      <w:rPr>
        <w:rFonts w:cs="Arial"/>
      </w:rPr>
      <w:fldChar w:fldCharType="begin"/>
    </w:r>
    <w:r>
      <w:rPr>
        <w:rFonts w:cs="Arial"/>
      </w:rPr>
      <w:instrText>PAGE</w:instrText>
    </w:r>
    <w:r>
      <w:rPr>
        <w:rFonts w:cs="Arial"/>
      </w:rPr>
      <w:fldChar w:fldCharType="separate"/>
    </w:r>
    <w:r>
      <w:rPr>
        <w:rFonts w:cs="Arial"/>
        <w:noProof/>
      </w:rPr>
      <w:t>3</w:t>
    </w:r>
    <w:r>
      <w:rPr>
        <w:rFonts w:cs="Arial"/>
      </w:rPr>
      <w:fldChar w:fldCharType="end"/>
    </w:r>
    <w:r>
      <w:rPr>
        <w:rFonts w:eastAsia="Arial" w:cs="Arial"/>
        <w:lang w:val="fr-CA"/>
      </w:rPr>
      <w:tab/>
    </w:r>
  </w:p>
  <w:p w14:paraId="21AD272B" w14:textId="77777777" w:rsidR="00021DED" w:rsidRDefault="00AC7B39">
    <w:pPr>
      <w:tabs>
        <w:tab w:val="center" w:pos="5040"/>
        <w:tab w:val="right" w:pos="10079"/>
      </w:tabs>
      <w:rPr>
        <w:rFonts w:cs="Arial"/>
      </w:rPr>
    </w:pPr>
    <w:r>
      <w:rPr>
        <w:rFonts w:eastAsia="Arial" w:cs="Arial"/>
        <w:lang w:val="fr-CA"/>
      </w:rPr>
      <w:t>04/13/2022</w:t>
    </w:r>
  </w:p>
  <w:p w14:paraId="21AD272C" w14:textId="77777777" w:rsidR="00021DED" w:rsidRDefault="00021DED">
    <w:pPr>
      <w:tabs>
        <w:tab w:val="center" w:pos="5040"/>
        <w:tab w:val="right" w:pos="100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0F5A" w14:textId="77777777" w:rsidR="006A325C" w:rsidRDefault="006A325C">
      <w:r>
        <w:separator/>
      </w:r>
    </w:p>
  </w:footnote>
  <w:footnote w:type="continuationSeparator" w:id="0">
    <w:p w14:paraId="13C32771" w14:textId="77777777" w:rsidR="006A325C" w:rsidRDefault="006A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3" w14:textId="77777777" w:rsidR="00021DED" w:rsidRDefault="00021DE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1AD2724" w14:textId="77777777" w:rsidR="00021DED" w:rsidRDefault="00021D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5" w14:textId="77777777" w:rsidR="00021DED" w:rsidRDefault="00021DE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1AD2726" w14:textId="77777777" w:rsidR="00021DED" w:rsidRDefault="00021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ED"/>
    <w:rsid w:val="00021DED"/>
    <w:rsid w:val="006A325C"/>
    <w:rsid w:val="007C743C"/>
    <w:rsid w:val="00930818"/>
    <w:rsid w:val="009B2291"/>
    <w:rsid w:val="009E3AF5"/>
    <w:rsid w:val="00AC7B39"/>
    <w:rsid w:val="00EA31EC"/>
    <w:rsid w:val="00EB51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D269C"/>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2021-02-09T18:29:00Z</cp:lastPrinted>
  <dcterms:created xsi:type="dcterms:W3CDTF">2022-05-24T16:35:00Z</dcterms:created>
  <dcterms:modified xsi:type="dcterms:W3CDTF">2022-05-24T16:36:00Z</dcterms:modified>
</cp:coreProperties>
</file>