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799B3818" w14:textId="77777777" w:rsidR="00D93489" w:rsidRDefault="00D93489" w:rsidP="00961FD5">
      <w:pPr>
        <w:spacing w:after="0" w:line="20" w:lineRule="atLeast"/>
        <w:rPr>
          <w:rFonts w:cs="Arial"/>
          <w:color w:val="0070C0"/>
        </w:rPr>
      </w:pPr>
    </w:p>
    <w:p w14:paraId="52C3E3BC" w14:textId="743BC43B" w:rsidR="00D93489" w:rsidRPr="009F4AE8" w:rsidRDefault="00394C06" w:rsidP="00961FD5">
      <w:pPr>
        <w:spacing w:after="0" w:line="20" w:lineRule="atLeast"/>
        <w:rPr>
          <w:rFonts w:cs="Arial"/>
          <w:color w:val="0070C0"/>
        </w:rPr>
      </w:pPr>
      <w:r w:rsidRPr="009F4AE8">
        <w:rPr>
          <w:rFonts w:cs="Arial"/>
          <w:vanish/>
          <w:color w:val="0070C0"/>
          <w:lang w:val="es-MX"/>
        </w:rPr>
        <w:t>Conservar lo siguiente para un operador pesado de alta cantidad de ciclos para portones de techo de elevación estándar que midan hasta 4.8 m (16 pies) de ancho y pesen 453.5 kg (1000 lb) como máximo.</w:t>
      </w:r>
    </w:p>
    <w:p w14:paraId="4004763E" w14:textId="77777777" w:rsidR="00D93489" w:rsidRPr="009F4AE8" w:rsidRDefault="00D93489" w:rsidP="00961FD5">
      <w:pPr>
        <w:spacing w:after="0" w:line="20" w:lineRule="atLeast"/>
        <w:rPr>
          <w:rFonts w:cs="Arial"/>
          <w:color w:val="0070C0"/>
        </w:rPr>
      </w:pPr>
    </w:p>
    <w:p w14:paraId="0639054A" w14:textId="09489735" w:rsidR="00D93489" w:rsidRPr="00C86C6F" w:rsidRDefault="007337B0" w:rsidP="00961FD5">
      <w:pPr>
        <w:pStyle w:val="Level3"/>
        <w:spacing w:after="0" w:line="20" w:lineRule="atLeast"/>
      </w:pPr>
      <w:r>
        <w:rPr>
          <w:lang w:val="es-MX"/>
        </w:rPr>
        <w:tab/>
      </w:r>
      <w:r w:rsidR="00394C06" w:rsidRPr="00C86C6F">
        <w:rPr>
          <w:lang w:val="es-MX"/>
        </w:rPr>
        <w:t>Operadores de puerta:</w:t>
      </w:r>
    </w:p>
    <w:p w14:paraId="548C966A" w14:textId="70550909" w:rsidR="00D93489" w:rsidRPr="00C86C6F" w:rsidRDefault="007337B0" w:rsidP="00961FD5">
      <w:pPr>
        <w:pStyle w:val="Level4"/>
        <w:spacing w:after="0" w:line="20" w:lineRule="atLeast"/>
      </w:pPr>
      <w:r>
        <w:rPr>
          <w:lang w:val="es-MX"/>
        </w:rPr>
        <w:tab/>
      </w:r>
      <w:r w:rsidR="00394C06" w:rsidRPr="00C86C6F">
        <w:rPr>
          <w:lang w:val="es-MX"/>
        </w:rPr>
        <w:t>Modelo: HCTDCUL.</w:t>
      </w:r>
    </w:p>
    <w:p w14:paraId="307332A1" w14:textId="199E7E03" w:rsidR="00D93489" w:rsidRPr="00C86C6F" w:rsidRDefault="00394C06" w:rsidP="00961FD5">
      <w:pPr>
        <w:pStyle w:val="Level4"/>
        <w:spacing w:after="0" w:line="20" w:lineRule="atLeast"/>
      </w:pPr>
      <w:r w:rsidRPr="00C86C6F">
        <w:rPr>
          <w:lang w:val="es-MX"/>
        </w:rPr>
        <w:t xml:space="preserve"> </w:t>
      </w:r>
      <w:r w:rsidR="007337B0">
        <w:rPr>
          <w:lang w:val="es-MX"/>
        </w:rPr>
        <w:tab/>
      </w:r>
      <w:r w:rsidRPr="00C86C6F">
        <w:rPr>
          <w:lang w:val="es-MX"/>
        </w:rPr>
        <w:t>Funcionamiento: Reducción de engranajes.</w:t>
      </w:r>
    </w:p>
    <w:p w14:paraId="4E6A2753" w14:textId="7BAF92C5" w:rsidR="00D93489" w:rsidRPr="00C86C6F" w:rsidRDefault="007337B0" w:rsidP="00961FD5">
      <w:pPr>
        <w:pStyle w:val="Level4"/>
        <w:spacing w:after="0" w:line="20" w:lineRule="atLeast"/>
        <w:rPr>
          <w:rFonts w:cs="Arial"/>
        </w:rPr>
      </w:pPr>
      <w:r>
        <w:rPr>
          <w:rFonts w:cs="Arial"/>
          <w:lang w:val="es-MX"/>
        </w:rPr>
        <w:tab/>
      </w:r>
      <w:r w:rsidR="00394C06" w:rsidRPr="00C86C6F">
        <w:rPr>
          <w:rFonts w:cs="Arial"/>
          <w:lang w:val="es-MX"/>
        </w:rPr>
        <w:t>Ciclo de trabajo nominal: Continuo.</w:t>
      </w:r>
    </w:p>
    <w:p w14:paraId="59737703" w14:textId="6777D83D" w:rsidR="00D93489" w:rsidRPr="00C86C6F" w:rsidRDefault="00394C06" w:rsidP="00961FD5">
      <w:pPr>
        <w:pStyle w:val="Level4"/>
        <w:spacing w:after="0" w:line="20" w:lineRule="atLeast"/>
        <w:rPr>
          <w:rFonts w:cs="Arial"/>
        </w:rPr>
      </w:pPr>
      <w:r w:rsidRPr="00C86C6F">
        <w:rPr>
          <w:rFonts w:cs="Arial"/>
          <w:lang w:val="es-MX"/>
        </w:rPr>
        <w:t xml:space="preserve"> </w:t>
      </w:r>
      <w:r w:rsidR="007337B0">
        <w:rPr>
          <w:rFonts w:cs="Arial"/>
          <w:lang w:val="es-MX"/>
        </w:rPr>
        <w:tab/>
      </w:r>
      <w:r w:rsidRPr="00C86C6F">
        <w:rPr>
          <w:rFonts w:cs="Arial"/>
          <w:lang w:val="es-MX"/>
        </w:rPr>
        <w:t>Velocidad del operador: Velocidad de apertura ajustable, de hasta 27.9 cm (11 pulg.) por segundo.</w:t>
      </w:r>
    </w:p>
    <w:p w14:paraId="3DA9A274" w14:textId="616E81D6" w:rsidR="00D93489" w:rsidRPr="00C86C6F" w:rsidRDefault="00394C06" w:rsidP="00961FD5">
      <w:pPr>
        <w:pStyle w:val="Level4"/>
        <w:spacing w:after="0" w:line="20" w:lineRule="atLeast"/>
        <w:rPr>
          <w:rFonts w:cs="Arial"/>
        </w:rPr>
      </w:pPr>
      <w:r w:rsidRPr="00C86C6F">
        <w:rPr>
          <w:rFonts w:cs="Arial"/>
          <w:lang w:val="es-MX"/>
        </w:rPr>
        <w:t xml:space="preserve">  </w:t>
      </w:r>
      <w:r w:rsidR="007337B0">
        <w:rPr>
          <w:rFonts w:cs="Arial"/>
          <w:lang w:val="es-MX"/>
        </w:rPr>
        <w:tab/>
      </w:r>
      <w:r w:rsidRPr="00C86C6F">
        <w:rPr>
          <w:rFonts w:cs="Arial"/>
          <w:lang w:val="es-MX"/>
        </w:rPr>
        <w:t>Cierre automático si la puerta es empujada fuera de la posición de cierre.</w:t>
      </w:r>
    </w:p>
    <w:p w14:paraId="2FCA195A" w14:textId="2BB532E7" w:rsidR="00D93489" w:rsidRPr="00C86C6F" w:rsidRDefault="00394C06" w:rsidP="00961FD5">
      <w:pPr>
        <w:pStyle w:val="Level4"/>
        <w:spacing w:after="0" w:line="20" w:lineRule="atLeast"/>
        <w:rPr>
          <w:rFonts w:cs="Arial"/>
        </w:rPr>
      </w:pPr>
      <w:r w:rsidRPr="00C86C6F">
        <w:rPr>
          <w:rFonts w:cs="Arial"/>
          <w:lang w:val="es-MX"/>
        </w:rPr>
        <w:t xml:space="preserve">  </w:t>
      </w:r>
      <w:r w:rsidR="007337B0">
        <w:rPr>
          <w:rFonts w:cs="Arial"/>
          <w:lang w:val="es-MX"/>
        </w:rPr>
        <w:tab/>
      </w:r>
      <w:r w:rsidRPr="00C86C6F">
        <w:rPr>
          <w:rFonts w:cs="Arial"/>
          <w:lang w:val="es-MX"/>
        </w:rPr>
        <w:t>Batería de respaldo.</w:t>
      </w:r>
    </w:p>
    <w:p w14:paraId="773B6A08" w14:textId="3220B464" w:rsidR="00D93489" w:rsidRPr="00C86C6F" w:rsidRDefault="00394C06" w:rsidP="00961FD5">
      <w:pPr>
        <w:pStyle w:val="Level4"/>
        <w:spacing w:after="0" w:line="20" w:lineRule="atLeast"/>
        <w:rPr>
          <w:rFonts w:cs="Arial"/>
        </w:rPr>
      </w:pPr>
      <w:r w:rsidRPr="00C86C6F">
        <w:rPr>
          <w:rFonts w:cs="Arial"/>
          <w:lang w:val="es-MX"/>
        </w:rPr>
        <w:t xml:space="preserve"> </w:t>
      </w:r>
      <w:r w:rsidR="007337B0">
        <w:rPr>
          <w:rFonts w:cs="Arial"/>
          <w:lang w:val="es-MX"/>
        </w:rPr>
        <w:tab/>
      </w:r>
      <w:r w:rsidRPr="00C86C6F">
        <w:rPr>
          <w:rFonts w:cs="Arial"/>
          <w:lang w:val="es-MX"/>
        </w:rPr>
        <w:t>Pantalla de diagnóstico LED.</w:t>
      </w:r>
    </w:p>
    <w:p w14:paraId="3D5FBB07" w14:textId="2C902D25" w:rsidR="00D93489" w:rsidRPr="00C86C6F" w:rsidRDefault="00394C06" w:rsidP="00961FD5">
      <w:pPr>
        <w:pStyle w:val="Level4"/>
        <w:spacing w:after="0" w:line="20" w:lineRule="atLeast"/>
        <w:rPr>
          <w:rFonts w:cs="Arial"/>
        </w:rPr>
      </w:pPr>
      <w:r w:rsidRPr="00C86C6F">
        <w:rPr>
          <w:rFonts w:cs="Arial"/>
          <w:lang w:val="es-MX"/>
        </w:rPr>
        <w:t xml:space="preserve"> </w:t>
      </w:r>
      <w:r w:rsidR="007337B0">
        <w:rPr>
          <w:rFonts w:cs="Arial"/>
          <w:lang w:val="es-MX"/>
        </w:rPr>
        <w:tab/>
      </w:r>
      <w:r w:rsidRPr="00C86C6F">
        <w:rPr>
          <w:rFonts w:cs="Arial"/>
          <w:lang w:val="es-MX"/>
        </w:rPr>
        <w:t>Cumple la norma UL 325.</w:t>
      </w:r>
    </w:p>
    <w:p w14:paraId="1C96DAC8" w14:textId="7A626A2D" w:rsidR="00D93489" w:rsidRDefault="00394C06" w:rsidP="00961FD5">
      <w:pPr>
        <w:pStyle w:val="Level4"/>
        <w:spacing w:after="0" w:line="20" w:lineRule="atLeast"/>
        <w:rPr>
          <w:rFonts w:cs="Arial"/>
        </w:rPr>
      </w:pPr>
      <w:r w:rsidRPr="00C86C6F">
        <w:rPr>
          <w:rFonts w:cs="Arial"/>
          <w:lang w:val="es-MX"/>
        </w:rPr>
        <w:t xml:space="preserve"> </w:t>
      </w:r>
      <w:r w:rsidR="007337B0">
        <w:rPr>
          <w:rFonts w:cs="Arial"/>
          <w:lang w:val="es-MX"/>
        </w:rPr>
        <w:tab/>
      </w:r>
      <w:r w:rsidRPr="00C86C6F">
        <w:rPr>
          <w:rFonts w:cs="Arial"/>
          <w:lang w:val="es-MX"/>
        </w:rPr>
        <w:t>Motor: 24 VCC, precableado, con certificación de Underwriters Laboratories, según condiciones de tamaño de la puerta.</w:t>
      </w:r>
    </w:p>
    <w:p w14:paraId="6253D8F6" w14:textId="1162123D" w:rsidR="00D93489" w:rsidRPr="0060080D" w:rsidRDefault="007337B0" w:rsidP="00961FD5">
      <w:pPr>
        <w:pStyle w:val="Level4"/>
        <w:spacing w:after="0" w:line="20" w:lineRule="atLeast"/>
        <w:rPr>
          <w:rFonts w:cs="Arial"/>
        </w:rPr>
      </w:pPr>
      <w:r>
        <w:rPr>
          <w:rFonts w:cs="Arial"/>
          <w:lang w:val="es-MX"/>
        </w:rPr>
        <w:tab/>
      </w:r>
      <w:r w:rsidR="00394C06">
        <w:rPr>
          <w:rFonts w:cs="Arial"/>
          <w:lang w:val="es-MX"/>
        </w:rPr>
        <w:t xml:space="preserve"> Gabinete: NEMA 1.</w:t>
      </w:r>
    </w:p>
    <w:p w14:paraId="45B738F2" w14:textId="428C09D5" w:rsidR="00D93489" w:rsidRPr="004509CA" w:rsidRDefault="007337B0" w:rsidP="00961FD5">
      <w:pPr>
        <w:pStyle w:val="Level4"/>
        <w:spacing w:after="0" w:line="20" w:lineRule="atLeast"/>
      </w:pPr>
      <w:r>
        <w:rPr>
          <w:lang w:val="es-MX"/>
        </w:rPr>
        <w:tab/>
      </w:r>
      <w:r w:rsidR="00394C06" w:rsidRPr="00214EE7">
        <w:rPr>
          <w:lang w:val="es-MX"/>
        </w:rPr>
        <w:t>Conectividad a Internet: Tecnología myQ con 50 Canales de FHSS</w:t>
      </w:r>
    </w:p>
    <w:p w14:paraId="2C54948D" w14:textId="4CC87DB9" w:rsidR="00112F5D" w:rsidRPr="009A198E" w:rsidRDefault="007337B0" w:rsidP="00961FD5">
      <w:pPr>
        <w:pStyle w:val="SpecPara4"/>
        <w:autoSpaceDE w:val="0"/>
        <w:autoSpaceDN w:val="0"/>
        <w:adjustRightInd w:val="0"/>
        <w:spacing w:after="0" w:line="20" w:lineRule="atLeast"/>
        <w:rPr>
          <w:rFonts w:cs="Arial"/>
        </w:rPr>
      </w:pPr>
      <w:r>
        <w:rPr>
          <w:rFonts w:cs="Arial"/>
          <w:lang w:val="es-MX"/>
        </w:rPr>
        <w:lastRenderedPageBreak/>
        <w:tab/>
      </w:r>
      <w:r w:rsidR="00394C06" w:rsidRPr="00214EE7">
        <w:rPr>
          <w:rFonts w:cs="Arial"/>
          <w:lang w:val="es-MX"/>
        </w:rPr>
        <w:t xml:space="preserve">Estación de control: </w:t>
      </w:r>
      <w:r w:rsidR="00394C06" w:rsidRPr="009A198E">
        <w:rPr>
          <w:color w:val="FF0000"/>
          <w:lang w:val="es-MX"/>
        </w:rPr>
        <w:t>[Tres botones pulsadores] [Tipo llave de tres posiciones]</w:t>
      </w:r>
      <w:r w:rsidR="00394C06" w:rsidRPr="00214EE7">
        <w:rPr>
          <w:rFonts w:cs="Arial"/>
          <w:lang w:val="es-MX"/>
        </w:rPr>
        <w:t xml:space="preserve"> en un gabinete NEMA </w:t>
      </w:r>
      <w:r w:rsidR="00394C06" w:rsidRPr="0063445D">
        <w:rPr>
          <w:color w:val="FF0000"/>
          <w:lang w:val="es-MX"/>
        </w:rPr>
        <w:t>[1] [4] [4X] [7/9]</w:t>
      </w:r>
      <w:r w:rsidR="00394C06" w:rsidRPr="00214EE7">
        <w:rPr>
          <w:rFonts w:cs="Arial"/>
          <w:lang w:val="es-MX"/>
        </w:rPr>
        <w:t>.</w:t>
      </w:r>
    </w:p>
    <w:p w14:paraId="11CF8447" w14:textId="23B0B2CF" w:rsidR="00D93489" w:rsidRPr="004509CA" w:rsidRDefault="007337B0" w:rsidP="00961FD5">
      <w:pPr>
        <w:pStyle w:val="SpecPara4"/>
        <w:autoSpaceDE w:val="0"/>
        <w:autoSpaceDN w:val="0"/>
        <w:adjustRightInd w:val="0"/>
        <w:spacing w:after="0" w:line="20" w:lineRule="atLeast"/>
        <w:rPr>
          <w:rFonts w:cs="Arial"/>
        </w:rPr>
      </w:pPr>
      <w:r>
        <w:rPr>
          <w:rFonts w:cs="Arial"/>
          <w:lang w:val="es-MX"/>
        </w:rPr>
        <w:tab/>
      </w:r>
      <w:r w:rsidR="00394C06">
        <w:rPr>
          <w:rFonts w:cs="Arial"/>
          <w:lang w:val="es-MX"/>
        </w:rPr>
        <w:t xml:space="preserve">Controles remotos: </w:t>
      </w:r>
      <w:r w:rsidR="00394C06" w:rsidRPr="009A198E">
        <w:rPr>
          <w:color w:val="FF0000"/>
          <w:lang w:val="es-MX"/>
        </w:rPr>
        <w:t>[DIP de un botón.] [DIP de tres botones.] [Security+ 2.0 para dos botones de código variable] [Security+ 2.0 para cuatro botones de código variable]</w:t>
      </w:r>
    </w:p>
    <w:p w14:paraId="611249FE" w14:textId="63313A47" w:rsidR="00D93489" w:rsidRPr="004509CA" w:rsidRDefault="00394C06" w:rsidP="00961FD5">
      <w:pPr>
        <w:pStyle w:val="SpecPara4"/>
        <w:autoSpaceDE w:val="0"/>
        <w:autoSpaceDN w:val="0"/>
        <w:adjustRightInd w:val="0"/>
        <w:spacing w:after="0" w:line="20" w:lineRule="atLeast"/>
        <w:rPr>
          <w:rFonts w:cs="Arial"/>
        </w:rPr>
      </w:pPr>
      <w:r w:rsidRPr="004509CA">
        <w:rPr>
          <w:rFonts w:cs="Arial"/>
          <w:lang w:val="es-MX"/>
        </w:rPr>
        <w:t xml:space="preserve">  </w:t>
      </w:r>
      <w:r w:rsidR="007337B0">
        <w:rPr>
          <w:rFonts w:cs="Arial"/>
          <w:lang w:val="es-MX"/>
        </w:rPr>
        <w:tab/>
      </w:r>
      <w:r w:rsidRPr="004509CA">
        <w:rPr>
          <w:rFonts w:cs="Arial"/>
          <w:lang w:val="es-MX"/>
        </w:rPr>
        <w:t xml:space="preserve">Protección contra atrapamiento primaria: </w:t>
      </w:r>
      <w:r w:rsidRPr="004509CA">
        <w:rPr>
          <w:rFonts w:cs="Arial"/>
          <w:color w:val="FF0000"/>
          <w:lang w:val="es-MX"/>
        </w:rPr>
        <w:t>[Sensores fotoeléctricos, carcasa rígida.] [Sensores fotoeléctricos, carcasa flexible.] [Sistema de sensor retrorreflectante.] [Sensores fotoeléctricos de haz pasante.]</w:t>
      </w:r>
    </w:p>
    <w:p w14:paraId="15AD89F1" w14:textId="7A8F36AB" w:rsidR="00D93489" w:rsidRPr="004E28C8" w:rsidRDefault="007337B0" w:rsidP="00961FD5">
      <w:pPr>
        <w:pStyle w:val="SpecPara4"/>
        <w:autoSpaceDE w:val="0"/>
        <w:autoSpaceDN w:val="0"/>
        <w:adjustRightInd w:val="0"/>
        <w:spacing w:after="0" w:line="20" w:lineRule="atLeast"/>
        <w:rPr>
          <w:rFonts w:cs="Arial"/>
        </w:rPr>
      </w:pPr>
      <w:r>
        <w:rPr>
          <w:rFonts w:cs="Arial"/>
          <w:lang w:val="es-MX"/>
        </w:rPr>
        <w:tab/>
      </w:r>
      <w:r w:rsidR="00394C06" w:rsidRPr="004E28C8">
        <w:rPr>
          <w:rFonts w:cs="Arial"/>
          <w:lang w:val="es-MX"/>
        </w:rPr>
        <w:t xml:space="preserve">Protección contra atrapamiento secundaria: </w:t>
      </w:r>
      <w:r w:rsidR="00394C06" w:rsidRPr="004E28C8">
        <w:rPr>
          <w:rFonts w:cs="Arial"/>
          <w:color w:val="FF0000"/>
          <w:lang w:val="es-MX"/>
        </w:rPr>
        <w:t>[Sensores fotoeléctricos, carcasa rígida.] [Sensores fotoeléctricos, carcasa flexible.] [Sistema de sensor retrorreflectante.] [Sensores fotoeléctricos de haz pasante.]</w:t>
      </w:r>
    </w:p>
    <w:p w14:paraId="3D918EE9" w14:textId="77777777" w:rsidR="00D93489" w:rsidRPr="009F4AE8" w:rsidRDefault="00D93489" w:rsidP="00961FD5">
      <w:pPr>
        <w:pStyle w:val="SpecPara4"/>
        <w:numPr>
          <w:ilvl w:val="0"/>
          <w:numId w:val="0"/>
        </w:numPr>
        <w:autoSpaceDE w:val="0"/>
        <w:autoSpaceDN w:val="0"/>
        <w:adjustRightInd w:val="0"/>
        <w:spacing w:after="0" w:line="20" w:lineRule="atLeast"/>
        <w:rPr>
          <w:rFonts w:cs="Arial"/>
          <w:color w:val="0070C0"/>
        </w:rPr>
      </w:pPr>
    </w:p>
    <w:p w14:paraId="14244881" w14:textId="66C3AD22" w:rsidR="00D93489" w:rsidRPr="009F4AE8" w:rsidRDefault="00394C06" w:rsidP="00961FD5">
      <w:pPr>
        <w:pStyle w:val="SpecPara4"/>
        <w:numPr>
          <w:ilvl w:val="0"/>
          <w:numId w:val="0"/>
        </w:numPr>
        <w:spacing w:after="0" w:line="20" w:lineRule="atLeast"/>
        <w:rPr>
          <w:rFonts w:cs="Arial"/>
          <w:color w:val="0070C0"/>
        </w:rPr>
      </w:pPr>
      <w:r w:rsidRPr="009F4AE8">
        <w:rPr>
          <w:rFonts w:cs="Arial"/>
          <w:vanish/>
          <w:color w:val="0070C0"/>
          <w:lang w:val="es-MX"/>
        </w:rPr>
        <w:t>Los accesorios siguientes están disponibles en forma opcional. Consulte la documentación técnica de LiftMaster para obtener asistencia en la selección de accesorios.</w:t>
      </w:r>
    </w:p>
    <w:p w14:paraId="4EFE37C2" w14:textId="77777777" w:rsidR="00D93489" w:rsidRPr="009F4AE8" w:rsidRDefault="00394C06" w:rsidP="00961FD5">
      <w:pPr>
        <w:pStyle w:val="SpecPara4"/>
        <w:numPr>
          <w:ilvl w:val="0"/>
          <w:numId w:val="0"/>
        </w:numPr>
        <w:spacing w:after="0" w:line="20" w:lineRule="atLeast"/>
        <w:rPr>
          <w:rFonts w:cs="Arial"/>
          <w:color w:val="0070C0"/>
        </w:rPr>
      </w:pPr>
      <w:r w:rsidRPr="009F4AE8">
        <w:rPr>
          <w:rFonts w:cs="Arial"/>
          <w:vanish/>
          <w:color w:val="0070C0"/>
          <w:lang w:val="es-MX"/>
        </w:rPr>
        <w:t xml:space="preserve"> </w:t>
      </w:r>
    </w:p>
    <w:p w14:paraId="09ADDE7A" w14:textId="261E7C31" w:rsidR="00D93489" w:rsidRPr="00C86C6F" w:rsidRDefault="007337B0" w:rsidP="00961FD5">
      <w:pPr>
        <w:pStyle w:val="SpecPara4"/>
        <w:spacing w:after="0" w:line="20" w:lineRule="atLeast"/>
      </w:pPr>
      <w:r>
        <w:rPr>
          <w:lang w:val="es-MX"/>
        </w:rPr>
        <w:tab/>
      </w:r>
      <w:r w:rsidR="00394C06" w:rsidRPr="00C86C6F">
        <w:rPr>
          <w:lang w:val="es-MX"/>
        </w:rPr>
        <w:t>Teclado inalámbrico.</w:t>
      </w:r>
    </w:p>
    <w:p w14:paraId="6E3CAF5B" w14:textId="676C97BB" w:rsidR="00D93489" w:rsidRPr="00C86C6F" w:rsidRDefault="00394C06" w:rsidP="00961FD5">
      <w:pPr>
        <w:pStyle w:val="SpecPara4"/>
        <w:spacing w:after="0" w:line="20" w:lineRule="atLeast"/>
      </w:pPr>
      <w:r w:rsidRPr="00C86C6F">
        <w:rPr>
          <w:lang w:val="es-MX"/>
        </w:rPr>
        <w:t xml:space="preserve">  </w:t>
      </w:r>
      <w:r w:rsidR="007337B0">
        <w:rPr>
          <w:lang w:val="es-MX"/>
        </w:rPr>
        <w:tab/>
      </w:r>
      <w:r w:rsidRPr="00C86C6F">
        <w:rPr>
          <w:lang w:val="es-MX"/>
        </w:rPr>
        <w:t>Semáforo rojo/verde.</w:t>
      </w:r>
    </w:p>
    <w:p w14:paraId="29202960" w14:textId="25D13F0D" w:rsidR="00D93489" w:rsidRPr="00C86C6F" w:rsidRDefault="007337B0" w:rsidP="00961FD5">
      <w:pPr>
        <w:pStyle w:val="SpecPara4"/>
        <w:spacing w:after="0" w:line="20" w:lineRule="atLeast"/>
      </w:pPr>
      <w:r>
        <w:rPr>
          <w:lang w:val="es-MX"/>
        </w:rPr>
        <w:tab/>
      </w:r>
      <w:r w:rsidR="00394C06" w:rsidRPr="00C86C6F">
        <w:rPr>
          <w:lang w:val="es-MX"/>
        </w:rPr>
        <w:t>Portal de acceso conectado.</w:t>
      </w:r>
    </w:p>
    <w:p w14:paraId="51E01054" w14:textId="1A8CC794" w:rsidR="00D93489" w:rsidRPr="00C86C6F" w:rsidRDefault="00394C06" w:rsidP="00961FD5">
      <w:pPr>
        <w:pStyle w:val="SpecPara4"/>
        <w:spacing w:after="0" w:line="20" w:lineRule="atLeast"/>
      </w:pPr>
      <w:r w:rsidRPr="00C86C6F">
        <w:rPr>
          <w:lang w:val="es-MX"/>
        </w:rPr>
        <w:t xml:space="preserve">  </w:t>
      </w:r>
      <w:r w:rsidR="007337B0">
        <w:rPr>
          <w:lang w:val="es-MX"/>
        </w:rPr>
        <w:tab/>
      </w:r>
      <w:r w:rsidRPr="00C86C6F">
        <w:rPr>
          <w:lang w:val="es-MX"/>
        </w:rPr>
        <w:t>Receptor de control de acceso comercial.</w:t>
      </w:r>
    </w:p>
    <w:p w14:paraId="1BDF5929" w14:textId="4EE0A0FC" w:rsidR="00D93489" w:rsidRPr="00C86C6F" w:rsidRDefault="00394C06" w:rsidP="00961FD5">
      <w:pPr>
        <w:pStyle w:val="SpecPara4"/>
        <w:spacing w:after="0" w:line="20" w:lineRule="atLeast"/>
      </w:pPr>
      <w:r w:rsidRPr="00C86C6F">
        <w:rPr>
          <w:lang w:val="es-MX"/>
        </w:rPr>
        <w:t xml:space="preserve">  </w:t>
      </w:r>
      <w:r w:rsidR="007337B0">
        <w:rPr>
          <w:lang w:val="es-MX"/>
        </w:rPr>
        <w:tab/>
      </w:r>
      <w:r w:rsidRPr="00C86C6F">
        <w:rPr>
          <w:lang w:val="es-MX"/>
        </w:rPr>
        <w:t>Receptor Passport.</w:t>
      </w:r>
    </w:p>
    <w:p w14:paraId="626C29EC" w14:textId="31C1A92F" w:rsidR="00D93489" w:rsidRPr="00C86C6F" w:rsidRDefault="00394C06" w:rsidP="00961FD5">
      <w:pPr>
        <w:pStyle w:val="SpecPara4"/>
        <w:spacing w:after="0" w:line="20" w:lineRule="atLeast"/>
      </w:pPr>
      <w:r w:rsidRPr="00C86C6F">
        <w:rPr>
          <w:lang w:val="es-MX"/>
        </w:rPr>
        <w:t xml:space="preserve">  </w:t>
      </w:r>
      <w:r w:rsidR="007337B0">
        <w:rPr>
          <w:lang w:val="es-MX"/>
        </w:rPr>
        <w:tab/>
      </w:r>
      <w:r w:rsidRPr="00C86C6F">
        <w:rPr>
          <w:color w:val="FF0000"/>
          <w:lang w:val="es-MX"/>
        </w:rPr>
        <w:t>[Mini]</w:t>
      </w:r>
      <w:r w:rsidR="004F5D57">
        <w:rPr>
          <w:color w:val="FF0000"/>
          <w:lang w:val="es-MX"/>
        </w:rPr>
        <w:t xml:space="preserve"> </w:t>
      </w:r>
      <w:r w:rsidRPr="00C86C6F">
        <w:rPr>
          <w:lang w:val="es-MX"/>
        </w:rPr>
        <w:t>control remoto Passport de un botón</w:t>
      </w:r>
    </w:p>
    <w:p w14:paraId="6A912D21" w14:textId="7A67B1A6" w:rsidR="00D93489" w:rsidRDefault="00394C06" w:rsidP="00961FD5">
      <w:pPr>
        <w:pStyle w:val="Level4"/>
        <w:spacing w:after="0" w:line="20" w:lineRule="atLeast"/>
      </w:pPr>
      <w:r w:rsidRPr="00C86C6F">
        <w:rPr>
          <w:lang w:val="es-MX"/>
        </w:rPr>
        <w:t xml:space="preserve">  </w:t>
      </w:r>
      <w:r w:rsidR="007337B0">
        <w:rPr>
          <w:lang w:val="es-MX"/>
        </w:rPr>
        <w:tab/>
      </w:r>
      <w:r w:rsidRPr="00C86C6F">
        <w:rPr>
          <w:lang w:val="es-MX"/>
        </w:rPr>
        <w:t>Teclado de control remoto de acceso individual y lector de proximidad.</w:t>
      </w: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746EC"/>
    <w:rsid w:val="00184879"/>
    <w:rsid w:val="001851D0"/>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E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1746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46EC"/>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4779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2021-07-08T22:33:00Z</dcterms:created>
  <dcterms:modified xsi:type="dcterms:W3CDTF">2021-07-08T22:34:00Z</dcterms:modified>
</cp:coreProperties>
</file>