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E8AD" w14:textId="77777777" w:rsidR="004C5C3E" w:rsidRDefault="003A16CC">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5612F62F" w14:textId="77777777" w:rsidR="004C5C3E" w:rsidRDefault="004C5C3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bookmarkEnd w:id="0"/>
    <w:commentRangeStart w:id="1"/>
    <w:p w14:paraId="307B51E6" w14:textId="77777777" w:rsidR="004C5C3E" w:rsidRDefault="003A16CC">
      <w:pPr>
        <w:rPr>
          <w:rFonts w:cs="Arial"/>
          <w:b/>
          <w:bCs/>
          <w:lang w:val="fr-CA"/>
        </w:rPr>
      </w:pPr>
      <w:r>
        <w:rPr>
          <w:rFonts w:cs="Arial"/>
          <w:b/>
          <w:bCs/>
        </w:rPr>
        <w:fldChar w:fldCharType="begin"/>
      </w:r>
      <w:r>
        <w:rPr>
          <w:rFonts w:cs="Arial"/>
          <w:b/>
          <w:bCs/>
          <w:lang w:val="fr-CA"/>
        </w:rPr>
        <w:instrText xml:space="preserve"> SEQ CHAPTER \h \r 1</w:instrText>
      </w:r>
      <w:r>
        <w:rPr>
          <w:rFonts w:cs="Arial"/>
          <w:b/>
          <w:bCs/>
        </w:rPr>
        <w:fldChar w:fldCharType="end"/>
      </w:r>
      <w:r>
        <w:rPr>
          <w:rFonts w:eastAsia="Arial" w:cs="Arial"/>
          <w:b/>
          <w:bCs/>
          <w:lang w:val="fr-CA"/>
        </w:rPr>
        <w:t>SECTION 08 71 23 – ACTIONNEURS DE PORTES COMMERCIALES</w:t>
      </w:r>
      <w:commentRangeEnd w:id="1"/>
      <w:r>
        <w:rPr>
          <w:rStyle w:val="CommentReference"/>
        </w:rPr>
        <w:commentReference w:id="1"/>
      </w:r>
    </w:p>
    <w:p w14:paraId="0601C2D1" w14:textId="77777777" w:rsidR="004C5C3E" w:rsidRDefault="003A16CC">
      <w:pPr>
        <w:pStyle w:val="Level1"/>
      </w:pPr>
      <w:r>
        <w:rPr>
          <w:rFonts w:eastAsia="Arial"/>
          <w:bCs/>
          <w:lang w:val="fr-CA"/>
        </w:rPr>
        <w:tab/>
        <w:t>GÉNÉRALITÉS</w:t>
      </w:r>
    </w:p>
    <w:p w14:paraId="0C9B92BD" w14:textId="77777777" w:rsidR="004C5C3E" w:rsidRDefault="003A16CC">
      <w:pPr>
        <w:pStyle w:val="Level2"/>
      </w:pPr>
      <w:r>
        <w:rPr>
          <w:rFonts w:eastAsia="Arial"/>
          <w:lang w:val="fr-CA"/>
        </w:rPr>
        <w:tab/>
        <w:t>SOUMISSIONS</w:t>
      </w:r>
    </w:p>
    <w:p w14:paraId="475902B9" w14:textId="77777777" w:rsidR="004C5C3E" w:rsidRDefault="003A16CC">
      <w:pPr>
        <w:pStyle w:val="Level3"/>
      </w:pPr>
      <w:r>
        <w:rPr>
          <w:rFonts w:eastAsia="Arial"/>
          <w:lang w:val="fr-CA"/>
        </w:rPr>
        <w:tab/>
        <w:t>Soumissions d’action :</w:t>
      </w:r>
    </w:p>
    <w:p w14:paraId="3CCA5789" w14:textId="77777777" w:rsidR="004C5C3E" w:rsidRDefault="003A16CC">
      <w:pPr>
        <w:pStyle w:val="Level4"/>
        <w:rPr>
          <w:lang w:val="fr-CA"/>
        </w:rPr>
      </w:pPr>
      <w:r>
        <w:rPr>
          <w:rFonts w:eastAsia="Arial"/>
          <w:lang w:val="fr-CA"/>
        </w:rPr>
        <w:tab/>
        <w:t>Données sur le produit : Données descriptives du fabricant et attributs du produit.</w:t>
      </w:r>
    </w:p>
    <w:p w14:paraId="398D04ED" w14:textId="77777777" w:rsidR="004C5C3E" w:rsidRDefault="003A16CC">
      <w:pPr>
        <w:pStyle w:val="Level3"/>
      </w:pPr>
      <w:r>
        <w:rPr>
          <w:rFonts w:eastAsia="Arial"/>
          <w:lang w:val="fr-CA"/>
        </w:rPr>
        <w:tab/>
        <w:t>Soumissions de clôture :</w:t>
      </w:r>
    </w:p>
    <w:p w14:paraId="7202CFFC" w14:textId="77777777" w:rsidR="004C5C3E" w:rsidRDefault="003A16CC">
      <w:pPr>
        <w:pStyle w:val="Level4"/>
        <w:rPr>
          <w:lang w:val="fr-CA"/>
        </w:rPr>
      </w:pPr>
      <w:r>
        <w:rPr>
          <w:rFonts w:eastAsia="Arial"/>
          <w:lang w:val="fr-CA"/>
        </w:rPr>
        <w:tab/>
        <w:t>Données de fonctionnement et d’entretien.</w:t>
      </w:r>
      <w:bookmarkStart w:id="2" w:name="_Hlk37778670"/>
    </w:p>
    <w:p w14:paraId="70F1F938" w14:textId="77777777" w:rsidR="004C5C3E" w:rsidRDefault="003A16CC">
      <w:pPr>
        <w:pStyle w:val="Level2"/>
      </w:pPr>
      <w:r>
        <w:rPr>
          <w:rFonts w:eastAsia="Arial"/>
          <w:lang w:val="fr-CA"/>
        </w:rPr>
        <w:tab/>
        <w:t>ASSURANCE DE LA QUALITÉ</w:t>
      </w:r>
    </w:p>
    <w:p w14:paraId="0DF2D128" w14:textId="77777777" w:rsidR="004C5C3E" w:rsidRDefault="003A16CC">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374EB017" w14:textId="77777777" w:rsidR="004C5C3E" w:rsidRDefault="003A16CC">
      <w:pPr>
        <w:pStyle w:val="Level2"/>
      </w:pPr>
      <w:r>
        <w:rPr>
          <w:rFonts w:eastAsia="Arial"/>
          <w:lang w:val="fr-CA"/>
        </w:rPr>
        <w:tab/>
        <w:t>GARANTIE</w:t>
      </w:r>
    </w:p>
    <w:p w14:paraId="60C643E9" w14:textId="77777777" w:rsidR="004C5C3E" w:rsidRDefault="003A16CC">
      <w:pPr>
        <w:pStyle w:val="Level3"/>
        <w:rPr>
          <w:lang w:val="fr-CA"/>
        </w:rPr>
      </w:pPr>
      <w:commentRangeStart w:id="3"/>
      <w:r>
        <w:rPr>
          <w:rFonts w:eastAsia="Arial"/>
          <w:lang w:val="fr-CA"/>
        </w:rPr>
        <w:tab/>
        <w:t xml:space="preserve">Garantie limitée standard de </w:t>
      </w:r>
      <w:r>
        <w:rPr>
          <w:rFonts w:eastAsia="Arial"/>
          <w:color w:val="FF0000"/>
          <w:lang w:val="fr-CA"/>
        </w:rPr>
        <w:t>[1] [2]</w:t>
      </w:r>
      <w:r>
        <w:rPr>
          <w:rFonts w:eastAsia="Arial"/>
          <w:lang w:val="fr-CA"/>
        </w:rPr>
        <w:t> ans du fabricant contre tout défaut matériel ou de fabrication.</w:t>
      </w:r>
      <w:commentRangeEnd w:id="3"/>
      <w:r>
        <w:rPr>
          <w:rStyle w:val="CommentReference"/>
          <w:rFonts w:cs="Times New Roman"/>
        </w:rPr>
        <w:commentReference w:id="3"/>
      </w:r>
    </w:p>
    <w:p w14:paraId="31282E84" w14:textId="77777777" w:rsidR="004C5C3E" w:rsidRDefault="003A16CC">
      <w:pPr>
        <w:pStyle w:val="Level1"/>
      </w:pPr>
      <w:r>
        <w:rPr>
          <w:rFonts w:eastAsia="Arial"/>
          <w:bCs/>
          <w:lang w:val="fr-CA"/>
        </w:rPr>
        <w:tab/>
        <w:t>PRODUITS</w:t>
      </w:r>
    </w:p>
    <w:p w14:paraId="6D8D54DE" w14:textId="77777777" w:rsidR="004C5C3E" w:rsidRDefault="003A16CC">
      <w:pPr>
        <w:pStyle w:val="Level2"/>
      </w:pPr>
      <w:r>
        <w:rPr>
          <w:rFonts w:eastAsia="Arial"/>
          <w:lang w:val="fr-CA"/>
        </w:rPr>
        <w:tab/>
        <w:t>FABRICANTS</w:t>
      </w:r>
    </w:p>
    <w:p w14:paraId="61FDBD76" w14:textId="77777777" w:rsidR="004C5C3E" w:rsidRDefault="003A16CC">
      <w:pPr>
        <w:pStyle w:val="Level3"/>
      </w:pPr>
      <w:r>
        <w:rPr>
          <w:rFonts w:eastAsia="Arial"/>
          <w:lang w:val="fr-CA"/>
        </w:rPr>
        <w:tab/>
      </w:r>
      <w:r>
        <w:rPr>
          <w:rFonts w:eastAsia="Arial"/>
          <w:color w:val="000000"/>
          <w:lang w:val="fr-CA"/>
        </w:rPr>
        <w:t xml:space="preserve">Les documents contractuels sont basés sur les produits de LiftMaster. </w:t>
      </w:r>
      <w:hyperlink r:id="rId10" w:history="1">
        <w:r>
          <w:rPr>
            <w:rFonts w:eastAsia="Arial"/>
            <w:color w:val="0000FF"/>
            <w:u w:val="single"/>
            <w:lang w:val="fr-CA"/>
          </w:rPr>
          <w:t>www.LiftMaster.com</w:t>
        </w:r>
      </w:hyperlink>
      <w:r>
        <w:rPr>
          <w:rFonts w:eastAsia="Arial"/>
          <w:color w:val="000000"/>
          <w:lang w:val="fr-CA"/>
        </w:rPr>
        <w:t xml:space="preserve"> </w:t>
      </w:r>
    </w:p>
    <w:p w14:paraId="5E5A3899" w14:textId="77777777" w:rsidR="004C5C3E" w:rsidRDefault="003A16CC">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463A3287" w14:textId="77777777" w:rsidR="004C5C3E" w:rsidRDefault="003A16CC">
      <w:pPr>
        <w:pStyle w:val="Level2"/>
      </w:pPr>
      <w:commentRangeStart w:id="4"/>
      <w:r>
        <w:rPr>
          <w:rFonts w:eastAsia="Arial"/>
          <w:lang w:val="fr-CA"/>
        </w:rPr>
        <w:tab/>
        <w:t>UNITÉS FABRIQUÉES</w:t>
      </w:r>
      <w:commentRangeEnd w:id="4"/>
      <w:r>
        <w:rPr>
          <w:rStyle w:val="CommentReference"/>
          <w:rFonts w:cs="Times New Roman"/>
        </w:rPr>
        <w:commentReference w:id="4"/>
      </w:r>
    </w:p>
    <w:p w14:paraId="6B36ED73" w14:textId="77777777" w:rsidR="004C5C3E" w:rsidRDefault="003A16CC">
      <w:pPr>
        <w:pStyle w:val="Level3"/>
      </w:pPr>
      <w:r>
        <w:rPr>
          <w:rFonts w:eastAsia="Arial"/>
          <w:lang w:val="fr-CA"/>
        </w:rPr>
        <w:tab/>
        <w:t>Actionneurs de porte :</w:t>
      </w:r>
    </w:p>
    <w:p w14:paraId="35403E47" w14:textId="77777777" w:rsidR="004C5C3E" w:rsidRDefault="003A16CC">
      <w:pPr>
        <w:pStyle w:val="Level4"/>
      </w:pPr>
      <w:r>
        <w:rPr>
          <w:rFonts w:eastAsia="Arial"/>
          <w:lang w:val="fr-CA"/>
        </w:rPr>
        <w:tab/>
        <w:t>Modèle : DDO8900W.</w:t>
      </w:r>
    </w:p>
    <w:p w14:paraId="7CA1FA0A" w14:textId="77777777" w:rsidR="004C5C3E" w:rsidRDefault="003A16CC">
      <w:pPr>
        <w:pStyle w:val="Level4"/>
      </w:pPr>
      <w:r>
        <w:rPr>
          <w:rFonts w:eastAsia="Arial"/>
          <w:lang w:val="fr-CA"/>
        </w:rPr>
        <w:t xml:space="preserve"> </w:t>
      </w:r>
      <w:r>
        <w:rPr>
          <w:rFonts w:eastAsia="Arial"/>
          <w:lang w:val="fr-CA"/>
        </w:rPr>
        <w:tab/>
        <w:t>Fonctionnement : Arbre intermédiaire.</w:t>
      </w:r>
    </w:p>
    <w:p w14:paraId="6D024013" w14:textId="77777777" w:rsidR="004C5C3E" w:rsidRDefault="003A16CC">
      <w:pPr>
        <w:pStyle w:val="Level4"/>
      </w:pPr>
      <w:r>
        <w:rPr>
          <w:rFonts w:eastAsia="Arial"/>
          <w:lang w:val="fr-CA"/>
        </w:rPr>
        <w:tab/>
        <w:t>Montage : Mur.</w:t>
      </w:r>
    </w:p>
    <w:p w14:paraId="0A610F38" w14:textId="77777777" w:rsidR="004C5C3E" w:rsidRDefault="003A16CC">
      <w:pPr>
        <w:pStyle w:val="Level4"/>
        <w:rPr>
          <w:rFonts w:cs="Arial"/>
          <w:lang w:val="fr-CA"/>
        </w:rPr>
      </w:pPr>
      <w:r>
        <w:rPr>
          <w:rFonts w:eastAsia="Arial"/>
          <w:lang w:val="fr-CA"/>
        </w:rPr>
        <w:tab/>
        <w:t xml:space="preserve">Cycle de service homologué : </w:t>
      </w:r>
      <w:r>
        <w:rPr>
          <w:rFonts w:eastAsia="Arial" w:cs="Arial"/>
          <w:color w:val="485153"/>
          <w:shd w:val="clear" w:color="auto" w:fill="FFFFFF"/>
          <w:lang w:val="fr-CA"/>
        </w:rPr>
        <w:t>Maximum de 10 cycles par heure et 25 cycles par jour</w:t>
      </w:r>
      <w:r>
        <w:rPr>
          <w:rFonts w:eastAsia="Arial" w:cs="Arial"/>
          <w:lang w:val="fr-CA"/>
        </w:rPr>
        <w:t>.</w:t>
      </w:r>
    </w:p>
    <w:p w14:paraId="489183A0"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Conforme à la norme UL 325.</w:t>
      </w:r>
    </w:p>
    <w:p w14:paraId="11737861" w14:textId="77777777" w:rsidR="004C5C3E" w:rsidRDefault="003A16CC">
      <w:pPr>
        <w:pStyle w:val="Level4"/>
        <w:rPr>
          <w:lang w:val="fr-CA"/>
        </w:rPr>
      </w:pPr>
      <w:r>
        <w:rPr>
          <w:rFonts w:eastAsia="Arial" w:cs="Arial"/>
          <w:lang w:val="fr-CA"/>
        </w:rPr>
        <w:tab/>
        <w:t>Moteur : 12 V </w:t>
      </w:r>
      <w:proofErr w:type="spellStart"/>
      <w:r>
        <w:rPr>
          <w:rFonts w:eastAsia="Arial" w:cs="Arial"/>
          <w:lang w:val="fr-CA"/>
        </w:rPr>
        <w:t>c.c</w:t>
      </w:r>
      <w:proofErr w:type="spellEnd"/>
      <w:r>
        <w:rPr>
          <w:rFonts w:eastAsia="Arial" w:cs="Arial"/>
          <w:lang w:val="fr-CA"/>
        </w:rPr>
        <w:t xml:space="preserve">., précâblé, homologué par </w:t>
      </w:r>
      <w:proofErr w:type="spellStart"/>
      <w:r>
        <w:rPr>
          <w:rFonts w:eastAsia="Arial" w:cs="Arial"/>
          <w:lang w:val="fr-CA"/>
        </w:rPr>
        <w:t>Underwriters</w:t>
      </w:r>
      <w:proofErr w:type="spellEnd"/>
      <w:r>
        <w:rPr>
          <w:rFonts w:eastAsia="Arial" w:cs="Arial"/>
          <w:lang w:val="fr-CA"/>
        </w:rPr>
        <w:t xml:space="preserve"> </w:t>
      </w:r>
      <w:proofErr w:type="spellStart"/>
      <w:r>
        <w:rPr>
          <w:rFonts w:eastAsia="Arial" w:cs="Arial"/>
          <w:lang w:val="fr-CA"/>
        </w:rPr>
        <w:t>Laboratories</w:t>
      </w:r>
      <w:proofErr w:type="spellEnd"/>
      <w:r>
        <w:rPr>
          <w:rFonts w:eastAsia="Arial" w:cs="Arial"/>
          <w:lang w:val="fr-CA"/>
        </w:rPr>
        <w:t xml:space="preserve">, </w:t>
      </w:r>
      <w:r>
        <w:rPr>
          <w:rFonts w:eastAsia="Arial"/>
          <w:lang w:val="fr-CA"/>
        </w:rPr>
        <w:t>dimensionné selon les conditions de porte.</w:t>
      </w:r>
    </w:p>
    <w:p w14:paraId="15DDE042" w14:textId="77777777" w:rsidR="004C5C3E" w:rsidRDefault="003A16CC">
      <w:pPr>
        <w:pStyle w:val="Level4"/>
        <w:rPr>
          <w:rFonts w:cs="Arial"/>
        </w:rPr>
      </w:pPr>
      <w:r>
        <w:rPr>
          <w:rFonts w:eastAsia="Arial" w:cs="Arial"/>
          <w:lang w:val="fr-CA"/>
        </w:rPr>
        <w:t xml:space="preserve"> </w:t>
      </w:r>
      <w:r>
        <w:rPr>
          <w:rFonts w:eastAsia="Arial" w:cs="Arial"/>
          <w:lang w:val="fr-CA"/>
        </w:rPr>
        <w:tab/>
        <w:t>Enceinte : NEMA 1.</w:t>
      </w:r>
    </w:p>
    <w:p w14:paraId="7BF0EE3C" w14:textId="77777777" w:rsidR="004C5C3E" w:rsidRDefault="003A16CC">
      <w:pPr>
        <w:pStyle w:val="Level4"/>
        <w:rPr>
          <w:lang w:val="fr-CA"/>
        </w:rPr>
      </w:pPr>
      <w:r>
        <w:rPr>
          <w:rFonts w:eastAsia="Arial" w:cs="Arial"/>
          <w:lang w:val="fr-CA"/>
        </w:rPr>
        <w:t xml:space="preserve"> </w:t>
      </w:r>
      <w:r>
        <w:rPr>
          <w:rFonts w:eastAsia="Arial" w:cs="Arial"/>
          <w:lang w:val="fr-CA"/>
        </w:rPr>
        <w:tab/>
      </w:r>
      <w:r>
        <w:rPr>
          <w:rFonts w:eastAsia="Arial"/>
          <w:lang w:val="fr-CA"/>
        </w:rPr>
        <w:t xml:space="preserve">Récepteur radio : </w:t>
      </w:r>
      <w:r>
        <w:rPr>
          <w:lang w:val="en-CA"/>
        </w:rPr>
        <w:fldChar w:fldCharType="begin"/>
      </w:r>
      <w:r>
        <w:rPr>
          <w:lang w:val="fr-CA"/>
        </w:rPr>
        <w:instrText xml:space="preserve"> SEQ CHAPTER \h \r 1</w:instrText>
      </w:r>
      <w:r>
        <w:rPr>
          <w:lang w:val="en-CA"/>
        </w:rPr>
        <w:fldChar w:fldCharType="end"/>
      </w:r>
      <w:r>
        <w:rPr>
          <w:rFonts w:eastAsia="Arial"/>
          <w:lang w:val="fr-CA"/>
        </w:rPr>
        <w:t xml:space="preserve">Security+ 2.0 intégré; accepte les télécommandes Security+ 2.0 avec technologie de code variable et les télécommandes de commutateur DIP binaires. </w:t>
      </w:r>
    </w:p>
    <w:p w14:paraId="64F05EB8" w14:textId="77777777" w:rsidR="004C5C3E" w:rsidRDefault="003A16CC">
      <w:pPr>
        <w:pStyle w:val="Level4"/>
        <w:rPr>
          <w:lang w:val="fr-CA"/>
        </w:rPr>
      </w:pPr>
      <w:r>
        <w:rPr>
          <w:rFonts w:eastAsia="Arial"/>
          <w:lang w:val="fr-CA"/>
        </w:rPr>
        <w:t xml:space="preserve"> </w:t>
      </w:r>
      <w:r>
        <w:rPr>
          <w:rFonts w:eastAsia="Arial"/>
          <w:lang w:val="fr-CA"/>
        </w:rPr>
        <w:tab/>
        <w:t>Connectivité Internet : Technologie FHSS myQ à 50 canaux.</w:t>
      </w:r>
    </w:p>
    <w:p w14:paraId="746E9A79" w14:textId="77777777" w:rsidR="004C5C3E" w:rsidRDefault="003A16CC">
      <w:pPr>
        <w:pStyle w:val="Level4"/>
        <w:rPr>
          <w:rFonts w:cs="Arial"/>
          <w:lang w:val="fr-CA"/>
        </w:rPr>
      </w:pPr>
      <w:r>
        <w:rPr>
          <w:rFonts w:eastAsia="Arial"/>
          <w:lang w:val="fr-CA"/>
        </w:rPr>
        <w:tab/>
        <w:t xml:space="preserve">Station de commande : </w:t>
      </w:r>
      <w:r>
        <w:rPr>
          <w:rFonts w:eastAsia="Arial"/>
          <w:color w:val="FF0000"/>
          <w:lang w:val="fr-CA"/>
        </w:rPr>
        <w:t>[Type de bouton-poussoir à trois positions] [Type à trois positions commandé par clé]</w:t>
      </w:r>
      <w:r>
        <w:rPr>
          <w:rFonts w:eastAsia="Arial"/>
          <w:lang w:val="fr-CA"/>
        </w:rPr>
        <w:t xml:space="preserve"> dans un boîtier NEMA </w:t>
      </w:r>
      <w:r>
        <w:rPr>
          <w:rFonts w:eastAsia="Arial"/>
          <w:color w:val="FF0000"/>
          <w:lang w:val="fr-CA"/>
        </w:rPr>
        <w:t>[1] [4] [4X] [7/9]</w:t>
      </w:r>
      <w:r>
        <w:rPr>
          <w:rFonts w:eastAsia="Arial"/>
          <w:lang w:val="fr-CA"/>
        </w:rPr>
        <w:t>.</w:t>
      </w:r>
    </w:p>
    <w:p w14:paraId="522907CC" w14:textId="77777777" w:rsidR="004C5C3E" w:rsidRDefault="003A16CC">
      <w:pPr>
        <w:pStyle w:val="SpecPara4"/>
        <w:autoSpaceDE w:val="0"/>
        <w:autoSpaceDN w:val="0"/>
        <w:adjustRightInd w:val="0"/>
        <w:rPr>
          <w:rFonts w:cs="Arial"/>
          <w:lang w:val="fr-CA"/>
        </w:rPr>
      </w:pPr>
      <w:r>
        <w:rPr>
          <w:rFonts w:eastAsia="Arial"/>
          <w:lang w:val="fr-CA"/>
        </w:rPr>
        <w:tab/>
        <w:t xml:space="preserve">Télécommandes : </w:t>
      </w:r>
      <w:r>
        <w:rPr>
          <w:rFonts w:eastAsia="Arial"/>
          <w:color w:val="FF0000"/>
          <w:lang w:val="fr-CA"/>
        </w:rPr>
        <w:t>[DIP à un bouton.] [DIP à trois boutons.] [Code variable à deux boutons Security+ 2.0.] [Code variable à trois boutons Security+ 2.0.] [Code variable à quatre boutons Security+ 2.0.]</w:t>
      </w:r>
    </w:p>
    <w:p w14:paraId="0B1CF00F" w14:textId="77777777" w:rsidR="004C5C3E" w:rsidRDefault="003A16CC">
      <w:pPr>
        <w:pStyle w:val="SpecPara4"/>
        <w:autoSpaceDE w:val="0"/>
        <w:autoSpaceDN w:val="0"/>
        <w:adjustRightInd w:val="0"/>
        <w:rPr>
          <w:rFonts w:cs="Arial"/>
          <w:lang w:val="fr-CA"/>
        </w:rPr>
      </w:pPr>
      <w:r>
        <w:rPr>
          <w:rFonts w:eastAsia="Arial"/>
          <w:lang w:val="fr-CA"/>
        </w:rPr>
        <w:t xml:space="preserve"> </w:t>
      </w:r>
      <w:r>
        <w:rPr>
          <w:rFonts w:eastAsia="Arial"/>
          <w:lang w:val="fr-CA"/>
        </w:rPr>
        <w:tab/>
        <w:t>Protection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Œils</w:t>
      </w:r>
      <w:proofErr w:type="spellEnd"/>
      <w:r>
        <w:rPr>
          <w:rFonts w:eastAsia="Arial" w:cs="Arial"/>
          <w:color w:val="FF0000"/>
          <w:lang w:val="fr-CA"/>
        </w:rPr>
        <w:t xml:space="preserve"> électroniques.] [Rideau lumineux.]</w:t>
      </w:r>
    </w:p>
    <w:p w14:paraId="703225D8" w14:textId="77777777" w:rsidR="004C5C3E" w:rsidRDefault="003A16CC">
      <w:pPr>
        <w:pStyle w:val="Level4"/>
        <w:rPr>
          <w:lang w:val="fr-CA"/>
        </w:rPr>
      </w:pPr>
      <w:r>
        <w:rPr>
          <w:rFonts w:eastAsia="Arial"/>
          <w:lang w:val="fr-CA"/>
        </w:rPr>
        <w:tab/>
        <w:t>Protection secondaire non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Œils</w:t>
      </w:r>
      <w:proofErr w:type="spellEnd"/>
      <w:r>
        <w:rPr>
          <w:rFonts w:eastAsia="Arial" w:cs="Arial"/>
          <w:color w:val="FF0000"/>
          <w:lang w:val="fr-CA"/>
        </w:rPr>
        <w:t xml:space="preserve"> électroniques.] [Rideau lumineux.]</w:t>
      </w:r>
    </w:p>
    <w:p w14:paraId="4EE2CABA" w14:textId="77777777" w:rsidR="004C5C3E" w:rsidRDefault="003A16CC">
      <w:pPr>
        <w:pStyle w:val="Level4"/>
        <w:rPr>
          <w:lang w:val="fr-CA"/>
        </w:rPr>
      </w:pPr>
      <w:r>
        <w:rPr>
          <w:rFonts w:eastAsia="Arial"/>
          <w:lang w:val="fr-CA"/>
        </w:rPr>
        <w:t xml:space="preserve"> </w:t>
      </w:r>
      <w:r>
        <w:rPr>
          <w:rFonts w:eastAsia="Arial"/>
          <w:lang w:val="fr-CA"/>
        </w:rPr>
        <w:tab/>
        <w:t xml:space="preserve">Moniteur de tension de câble : Inverser la porte lorsqu’un mou excessif du câble a été détecté. </w:t>
      </w:r>
      <w:r>
        <w:rPr>
          <w:rFonts w:eastAsia="Arial" w:cs="Arial"/>
          <w:color w:val="0070C0"/>
          <w:lang w:val="fr-CA"/>
        </w:rPr>
        <w:t xml:space="preserve"> </w:t>
      </w:r>
    </w:p>
    <w:p w14:paraId="6D8813C4" w14:textId="77777777" w:rsidR="004C5C3E" w:rsidRDefault="003A16CC">
      <w:pPr>
        <w:pStyle w:val="SpecPara4"/>
        <w:rPr>
          <w:lang w:val="fr-CA"/>
        </w:rPr>
      </w:pPr>
      <w:r>
        <w:rPr>
          <w:rFonts w:eastAsia="Arial"/>
          <w:lang w:val="fr-CA"/>
        </w:rPr>
        <w:t xml:space="preserve"> </w:t>
      </w:r>
      <w:r>
        <w:rPr>
          <w:rFonts w:eastAsia="Arial"/>
          <w:lang w:val="fr-CA"/>
        </w:rPr>
        <w:tab/>
        <w:t>Verrouillage électrique automatique de la porte.</w:t>
      </w:r>
    </w:p>
    <w:p w14:paraId="186B2A03" w14:textId="77777777" w:rsidR="004C5C3E" w:rsidRDefault="003A16CC">
      <w:pPr>
        <w:pStyle w:val="SpecPara4"/>
        <w:rPr>
          <w:lang w:val="fr-CA"/>
        </w:rPr>
      </w:pPr>
      <w:r>
        <w:rPr>
          <w:rFonts w:eastAsia="Arial"/>
          <w:lang w:val="fr-CA"/>
        </w:rPr>
        <w:t xml:space="preserve"> </w:t>
      </w:r>
      <w:r>
        <w:rPr>
          <w:rFonts w:eastAsia="Arial"/>
          <w:lang w:val="fr-CA"/>
        </w:rPr>
        <w:tab/>
        <w:t>Système de batterie de secours.</w:t>
      </w:r>
    </w:p>
    <w:p w14:paraId="62376677" w14:textId="77777777" w:rsidR="004C5C3E" w:rsidRDefault="003A16CC">
      <w:pPr>
        <w:pStyle w:val="SpecPara4"/>
      </w:pPr>
      <w:r>
        <w:rPr>
          <w:rFonts w:eastAsia="Arial"/>
          <w:lang w:val="fr-CA"/>
        </w:rPr>
        <w:t xml:space="preserve"> </w:t>
      </w:r>
      <w:r>
        <w:rPr>
          <w:rFonts w:eastAsia="Arial"/>
          <w:lang w:val="fr-CA"/>
        </w:rPr>
        <w:tab/>
        <w:t>Ensemble de montage alterné.</w:t>
      </w:r>
    </w:p>
    <w:p w14:paraId="0262D7F9" w14:textId="77777777" w:rsidR="004C5C3E" w:rsidRDefault="003A16CC">
      <w:pPr>
        <w:pStyle w:val="SpecPara4"/>
        <w:rPr>
          <w:lang w:val="fr-CA"/>
        </w:rPr>
      </w:pPr>
      <w:r>
        <w:rPr>
          <w:rFonts w:eastAsia="Arial"/>
          <w:lang w:val="fr-CA"/>
        </w:rPr>
        <w:lastRenderedPageBreak/>
        <w:t xml:space="preserve"> </w:t>
      </w:r>
      <w:r>
        <w:rPr>
          <w:rFonts w:eastAsia="Arial"/>
          <w:lang w:val="fr-CA"/>
        </w:rPr>
        <w:tab/>
        <w:t>Éclairage à DEL à distance myQ.</w:t>
      </w:r>
    </w:p>
    <w:p w14:paraId="25041EC9" w14:textId="77777777" w:rsidR="004C5C3E" w:rsidRDefault="003A16CC">
      <w:pPr>
        <w:pStyle w:val="SpecPara4"/>
        <w:rPr>
          <w:lang w:val="fr-CA"/>
        </w:rPr>
      </w:pPr>
      <w:r>
        <w:rPr>
          <w:rFonts w:eastAsia="Arial"/>
          <w:lang w:val="fr-CA"/>
        </w:rPr>
        <w:t xml:space="preserve"> </w:t>
      </w:r>
      <w:r>
        <w:rPr>
          <w:rFonts w:eastAsia="Arial"/>
          <w:lang w:val="fr-CA"/>
        </w:rPr>
        <w:tab/>
      </w:r>
      <w:r>
        <w:rPr>
          <w:rFonts w:eastAsia="Arial"/>
          <w:color w:val="FF0000"/>
          <w:lang w:val="fr-CA"/>
        </w:rPr>
        <w:t>[KPW5] [KPW250]</w:t>
      </w:r>
      <w:r>
        <w:rPr>
          <w:rFonts w:eastAsia="Arial"/>
          <w:lang w:val="fr-CA"/>
        </w:rPr>
        <w:t xml:space="preserve"> clavier sans fil.</w:t>
      </w:r>
    </w:p>
    <w:p w14:paraId="2A1DC8C2" w14:textId="77777777" w:rsidR="004C5C3E" w:rsidRDefault="004C5C3E">
      <w:pPr>
        <w:pStyle w:val="SpecPara4"/>
        <w:numPr>
          <w:ilvl w:val="0"/>
          <w:numId w:val="0"/>
        </w:numPr>
        <w:rPr>
          <w:lang w:val="fr-CA"/>
        </w:rPr>
      </w:pPr>
    </w:p>
    <w:p w14:paraId="5E166507" w14:textId="77777777" w:rsidR="004C5C3E" w:rsidRDefault="003A16CC">
      <w:pPr>
        <w:pStyle w:val="Level1"/>
      </w:pPr>
      <w:r>
        <w:rPr>
          <w:rFonts w:eastAsia="Arial"/>
          <w:bCs/>
          <w:lang w:val="fr-CA"/>
        </w:rPr>
        <w:tab/>
        <w:t>EXÉCUTION</w:t>
      </w:r>
    </w:p>
    <w:p w14:paraId="1C2EA745" w14:textId="77777777" w:rsidR="004C5C3E" w:rsidRDefault="003A16CC">
      <w:pPr>
        <w:pStyle w:val="Level2"/>
      </w:pPr>
      <w:r>
        <w:rPr>
          <w:rFonts w:eastAsia="Arial"/>
          <w:lang w:val="fr-CA"/>
        </w:rPr>
        <w:tab/>
        <w:t>INSTALLATION</w:t>
      </w:r>
    </w:p>
    <w:p w14:paraId="44D3C0DB" w14:textId="77777777" w:rsidR="004C5C3E" w:rsidRDefault="003A16CC">
      <w:pPr>
        <w:pStyle w:val="Level3"/>
        <w:rPr>
          <w:lang w:val="fr-CA"/>
        </w:rPr>
      </w:pPr>
      <w:r>
        <w:rPr>
          <w:rFonts w:eastAsia="Arial"/>
          <w:lang w:val="fr-CA"/>
        </w:rPr>
        <w:tab/>
        <w:t xml:space="preserve">Installer conformément aux instructions du fabricant. </w:t>
      </w:r>
    </w:p>
    <w:p w14:paraId="0A9A73A5" w14:textId="77777777" w:rsidR="004C5C3E" w:rsidRDefault="003A16CC">
      <w:pPr>
        <w:pStyle w:val="Level2"/>
      </w:pPr>
      <w:r>
        <w:rPr>
          <w:rFonts w:eastAsia="Arial"/>
          <w:lang w:val="fr-CA"/>
        </w:rPr>
        <w:tab/>
        <w:t>ACTIVITÉS DE CLÔTURE</w:t>
      </w:r>
    </w:p>
    <w:p w14:paraId="62532B80" w14:textId="77777777" w:rsidR="004C5C3E" w:rsidRDefault="003A16CC">
      <w:pPr>
        <w:pStyle w:val="Level3"/>
        <w:rPr>
          <w:lang w:val="fr-CA"/>
        </w:rPr>
      </w:pPr>
      <w:r>
        <w:rPr>
          <w:rFonts w:eastAsia="Arial"/>
          <w:lang w:val="fr-CA"/>
        </w:rPr>
        <w:t xml:space="preserve"> </w:t>
      </w:r>
      <w:r>
        <w:rPr>
          <w:rFonts w:eastAsia="Arial"/>
          <w:lang w:val="fr-CA"/>
        </w:rPr>
        <w:tab/>
        <w:t>Tester et ajuster le bon fonctionnement des opérateurs.</w:t>
      </w:r>
    </w:p>
    <w:p w14:paraId="2BB8ADEF" w14:textId="77777777" w:rsidR="004C5C3E" w:rsidRDefault="003A16CC">
      <w:pPr>
        <w:pStyle w:val="Level3"/>
        <w:rPr>
          <w:lang w:val="fr-CA"/>
        </w:rPr>
      </w:pPr>
      <w:r>
        <w:rPr>
          <w:rFonts w:eastAsia="Arial"/>
          <w:lang w:val="fr-CA"/>
        </w:rPr>
        <w:tab/>
        <w:t>Démonstration : Démontrer le fonctionnement et la programmation des opérateurs au propriétaire.</w:t>
      </w:r>
    </w:p>
    <w:p w14:paraId="66F57AE5" w14:textId="77777777" w:rsidR="004C5C3E" w:rsidRDefault="004C5C3E">
      <w:pPr>
        <w:rPr>
          <w:rFonts w:cs="Arial"/>
          <w:lang w:val="fr-CA"/>
        </w:rPr>
      </w:pPr>
    </w:p>
    <w:p w14:paraId="7278918F" w14:textId="77777777" w:rsidR="004C5C3E" w:rsidRDefault="004C5C3E">
      <w:pPr>
        <w:rPr>
          <w:rFonts w:cs="Arial"/>
          <w:lang w:val="fr-CA"/>
        </w:rPr>
      </w:pPr>
    </w:p>
    <w:p w14:paraId="16750A25" w14:textId="77777777" w:rsidR="004C5C3E" w:rsidRDefault="003A16CC">
      <w:pPr>
        <w:jc w:val="center"/>
        <w:rPr>
          <w:rFonts w:cs="Arial"/>
        </w:rPr>
      </w:pPr>
      <w:r>
        <w:rPr>
          <w:rFonts w:eastAsia="Arial" w:cs="Arial"/>
          <w:lang w:val="fr-CA"/>
        </w:rPr>
        <w:t>FIN DE LA SECTION</w:t>
      </w:r>
    </w:p>
    <w:sectPr w:rsidR="004C5C3E">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2312F633" w14:textId="77777777" w:rsidR="004C5C3E" w:rsidRDefault="003A16CC">
      <w:pPr>
        <w:pStyle w:val="CommentText"/>
      </w:pPr>
      <w:r>
        <w:rPr>
          <w:color w:val="0070C0"/>
        </w:rPr>
        <w:t xml:space="preserve"> </w:t>
      </w:r>
    </w:p>
    <w:p w14:paraId="2B36E75F" w14:textId="77777777" w:rsidR="00862B6D" w:rsidRDefault="00862B6D" w:rsidP="00862B6D">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 portes commerciales pour les portes et grilles à bobine suspendue et articulées.</w:t>
      </w:r>
    </w:p>
    <w:p w14:paraId="7456EB3E" w14:textId="77777777" w:rsidR="00862B6D" w:rsidRDefault="00862B6D" w:rsidP="00862B6D">
      <w:pPr>
        <w:pStyle w:val="CommentText"/>
        <w:rPr>
          <w:lang w:val="fr-FR"/>
        </w:rPr>
      </w:pPr>
    </w:p>
    <w:p w14:paraId="458BB185" w14:textId="77777777" w:rsidR="00862B6D" w:rsidRDefault="00862B6D" w:rsidP="00862B6D">
      <w:pPr>
        <w:pStyle w:val="CommentText"/>
        <w:rPr>
          <w:lang w:val="fr-FR"/>
        </w:rPr>
      </w:pPr>
      <w:r>
        <w:rPr>
          <w:rFonts w:eastAsia="Arial"/>
          <w:color w:val="0070C0"/>
          <w:lang w:val="fr-CA"/>
        </w:rPr>
        <w:t>Les éléments suivants doivent être notés dans l’utilisation de cette spécification :</w:t>
      </w:r>
    </w:p>
    <w:p w14:paraId="1B2608DF" w14:textId="77777777" w:rsidR="00862B6D" w:rsidRDefault="00862B6D" w:rsidP="00862B6D">
      <w:pPr>
        <w:pStyle w:val="CommentText"/>
        <w:rPr>
          <w:lang w:val="fr-FR"/>
        </w:rPr>
      </w:pPr>
    </w:p>
    <w:p w14:paraId="1D2F066A" w14:textId="77777777" w:rsidR="00862B6D" w:rsidRDefault="00862B6D" w:rsidP="00862B6D">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015DB36" w14:textId="77777777" w:rsidR="00862B6D" w:rsidRDefault="00862B6D" w:rsidP="00862B6D">
      <w:pPr>
        <w:pStyle w:val="CommentText"/>
        <w:rPr>
          <w:lang w:val="fr-FR"/>
        </w:rPr>
      </w:pPr>
    </w:p>
    <w:p w14:paraId="51878420" w14:textId="77777777" w:rsidR="00862B6D" w:rsidRDefault="00862B6D" w:rsidP="00862B6D">
      <w:pPr>
        <w:pStyle w:val="CommentText"/>
        <w:rPr>
          <w:lang w:val="fr-FR"/>
        </w:rPr>
      </w:pPr>
      <w:r>
        <w:rPr>
          <w:rFonts w:eastAsia="Arial"/>
          <w:color w:val="0070C0"/>
          <w:lang w:val="fr-CA"/>
        </w:rPr>
        <w:t xml:space="preserve">www.acme.com  </w:t>
      </w:r>
    </w:p>
    <w:p w14:paraId="56E4B3D6" w14:textId="77777777" w:rsidR="00862B6D" w:rsidRDefault="00862B6D" w:rsidP="00862B6D">
      <w:pPr>
        <w:pStyle w:val="CommentText"/>
        <w:rPr>
          <w:lang w:val="fr-FR"/>
        </w:rPr>
      </w:pPr>
    </w:p>
    <w:p w14:paraId="1ED40E62" w14:textId="77777777" w:rsidR="00862B6D" w:rsidRDefault="00862B6D" w:rsidP="00862B6D">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48387FD2" w14:textId="77777777" w:rsidR="00862B6D" w:rsidRDefault="00862B6D" w:rsidP="00862B6D">
      <w:pPr>
        <w:pStyle w:val="CommentText"/>
        <w:rPr>
          <w:lang w:val="fr-FR"/>
        </w:rPr>
      </w:pPr>
    </w:p>
    <w:p w14:paraId="3A8C7A4C" w14:textId="77777777" w:rsidR="00862B6D" w:rsidRDefault="00862B6D" w:rsidP="00862B6D">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3A3C9BBD" w14:textId="77777777" w:rsidR="00862B6D" w:rsidRDefault="00862B6D" w:rsidP="00862B6D">
      <w:pPr>
        <w:pStyle w:val="CommentText"/>
        <w:rPr>
          <w:lang w:val="fr-FR"/>
        </w:rPr>
      </w:pPr>
    </w:p>
    <w:p w14:paraId="422F6B3D" w14:textId="77777777" w:rsidR="00862B6D" w:rsidRDefault="00862B6D" w:rsidP="00862B6D">
      <w:pPr>
        <w:pStyle w:val="CommentText"/>
        <w:rPr>
          <w:lang w:val="fr-FR"/>
        </w:rPr>
      </w:pPr>
      <w:r>
        <w:rPr>
          <w:rFonts w:eastAsia="Arial"/>
          <w:color w:val="0070C0"/>
          <w:lang w:val="fr-CA"/>
        </w:rPr>
        <w:t>Les paragraphes facultatifs sont séparés par une instruction « OU » affichée en rouge, p. ex. :</w:t>
      </w:r>
    </w:p>
    <w:p w14:paraId="3031EB3D" w14:textId="77777777" w:rsidR="00862B6D" w:rsidRDefault="00862B6D" w:rsidP="00862B6D">
      <w:pPr>
        <w:pStyle w:val="CommentText"/>
        <w:rPr>
          <w:lang w:val="fr-FR"/>
        </w:rPr>
      </w:pPr>
    </w:p>
    <w:p w14:paraId="061A421B" w14:textId="77777777" w:rsidR="00862B6D" w:rsidRDefault="00862B6D" w:rsidP="00862B6D">
      <w:pPr>
        <w:pStyle w:val="CommentText"/>
        <w:rPr>
          <w:lang w:val="fr-FR"/>
        </w:rPr>
      </w:pPr>
      <w:r>
        <w:rPr>
          <w:rFonts w:eastAsia="Arial"/>
          <w:color w:val="0070C0"/>
          <w:lang w:val="fr-CA"/>
        </w:rPr>
        <w:tab/>
      </w:r>
      <w:r>
        <w:rPr>
          <w:rFonts w:eastAsia="Arial"/>
          <w:color w:val="FF0000"/>
          <w:lang w:val="fr-CA"/>
        </w:rPr>
        <w:t>**** OU ****</w:t>
      </w:r>
    </w:p>
    <w:p w14:paraId="3866A91A" w14:textId="77777777" w:rsidR="00862B6D" w:rsidRDefault="00862B6D" w:rsidP="00862B6D">
      <w:pPr>
        <w:pStyle w:val="CommentText"/>
        <w:rPr>
          <w:lang w:val="fr-FR"/>
        </w:rPr>
      </w:pPr>
    </w:p>
    <w:p w14:paraId="55721320" w14:textId="77777777" w:rsidR="00862B6D" w:rsidRDefault="00862B6D" w:rsidP="00862B6D">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145493CF" w14:textId="77777777" w:rsidR="00862B6D" w:rsidRDefault="00862B6D" w:rsidP="00862B6D">
      <w:pPr>
        <w:pStyle w:val="CommentText"/>
        <w:rPr>
          <w:lang w:val="fr-FR"/>
        </w:rPr>
      </w:pPr>
    </w:p>
    <w:p w14:paraId="297BC451" w14:textId="0EA83A99" w:rsidR="004C5C3E" w:rsidRDefault="00862B6D" w:rsidP="00862B6D">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36:00Z" w:initials="ZD">
    <w:p w14:paraId="04E671FC" w14:textId="77777777" w:rsidR="00E7660E" w:rsidRDefault="003A16CC" w:rsidP="00E7660E">
      <w:pPr>
        <w:pStyle w:val="CommentText"/>
        <w:rPr>
          <w:lang w:val="fr-FR"/>
        </w:rPr>
      </w:pPr>
      <w:r>
        <w:rPr>
          <w:rStyle w:val="CommentReference"/>
          <w:b/>
          <w:bCs/>
        </w:rPr>
        <w:annotationRef/>
      </w:r>
      <w:r w:rsidR="00E7660E">
        <w:rPr>
          <w:rFonts w:eastAsia="Arial"/>
          <w:color w:val="0070C0"/>
          <w:lang w:val="fr-CA"/>
        </w:rPr>
        <w:t>Le modèle ATSW est couvert par une garantie d’un an. Tous les autres modèles sont couverts par une garantie de 2 ans.</w:t>
      </w:r>
    </w:p>
    <w:p w14:paraId="0C271D56" w14:textId="17AF7BC9" w:rsidR="004C5C3E" w:rsidRDefault="004C5C3E">
      <w:pPr>
        <w:pStyle w:val="CommentText"/>
        <w:rPr>
          <w:b/>
          <w:bCs/>
        </w:rPr>
      </w:pPr>
    </w:p>
  </w:comment>
  <w:comment w:id="4" w:author="ZeroDocs" w:date="2022-04-13T13:37:00Z" w:initials="ZD">
    <w:p w14:paraId="539D31C6" w14:textId="77777777" w:rsidR="004C5C3E" w:rsidRDefault="003A16CC">
      <w:pPr>
        <w:pStyle w:val="CommentText"/>
      </w:pPr>
      <w:r>
        <w:rPr>
          <w:rStyle w:val="CommentReference"/>
        </w:rPr>
        <w:annotationRef/>
      </w:r>
    </w:p>
    <w:p w14:paraId="591FC071" w14:textId="77777777" w:rsidR="004E233F" w:rsidRDefault="004E233F" w:rsidP="004E233F">
      <w:pPr>
        <w:pStyle w:val="CommentText"/>
        <w:rPr>
          <w:lang w:val="fr-FR"/>
        </w:rPr>
      </w:pPr>
      <w:r>
        <w:rPr>
          <w:rFonts w:eastAsia="Arial"/>
          <w:color w:val="0070C0"/>
          <w:lang w:val="fr-CA"/>
        </w:rPr>
        <w:t>Les boîtiers NEMA sont classés comme suit :</w:t>
      </w:r>
    </w:p>
    <w:p w14:paraId="32268359" w14:textId="77777777" w:rsidR="004E233F" w:rsidRDefault="004E233F" w:rsidP="004E233F">
      <w:pPr>
        <w:pStyle w:val="CommentText"/>
        <w:rPr>
          <w:lang w:val="fr-FR"/>
        </w:rPr>
      </w:pPr>
    </w:p>
    <w:p w14:paraId="0A89AE13" w14:textId="77777777" w:rsidR="004E233F" w:rsidRDefault="004E233F" w:rsidP="004E233F">
      <w:pPr>
        <w:pStyle w:val="CommentText"/>
        <w:rPr>
          <w:lang w:val="fr-FR"/>
        </w:rPr>
      </w:pPr>
      <w:r>
        <w:rPr>
          <w:rFonts w:eastAsia="Arial"/>
          <w:color w:val="0070C0"/>
          <w:lang w:val="fr-CA"/>
        </w:rPr>
        <w:t>NEMA1 : Installation à l’intérieur, où il n’est pas nécessaire de l’isoler contre la poussière, l’huile et l’eau (comme la plupart des entrepôts).</w:t>
      </w:r>
    </w:p>
    <w:p w14:paraId="5EE7BFFB" w14:textId="77777777" w:rsidR="004E233F" w:rsidRDefault="004E233F" w:rsidP="004E233F">
      <w:pPr>
        <w:pStyle w:val="CommentText"/>
        <w:rPr>
          <w:lang w:val="fr-FR"/>
        </w:rPr>
      </w:pPr>
    </w:p>
    <w:p w14:paraId="7BBCD90C" w14:textId="77777777" w:rsidR="004E233F" w:rsidRDefault="004E233F" w:rsidP="004E233F">
      <w:pPr>
        <w:pStyle w:val="CommentText"/>
        <w:rPr>
          <w:lang w:val="fr-FR"/>
        </w:rPr>
      </w:pPr>
      <w:r>
        <w:rPr>
          <w:rFonts w:eastAsia="Arial"/>
          <w:color w:val="0070C0"/>
          <w:lang w:val="fr-CA"/>
        </w:rPr>
        <w:t>NEMA 4 : L’installation à l’intérieur pour protéger l’opérateur où l’eau sous pression peut être utilisée, où d’autres activités impliquant des lavages ou du liquide de refroidissement de la machine-outil ont lieu, ou à l’extérieur, où une protection contre la pluie, le grésil ou la neige peut être nécessaire (comme les lave-autos).</w:t>
      </w:r>
    </w:p>
    <w:p w14:paraId="16DF8B89" w14:textId="77777777" w:rsidR="004E233F" w:rsidRDefault="004E233F" w:rsidP="004E233F">
      <w:pPr>
        <w:pStyle w:val="CommentText"/>
        <w:rPr>
          <w:lang w:val="fr-FR"/>
        </w:rPr>
      </w:pPr>
    </w:p>
    <w:p w14:paraId="18F8C915" w14:textId="77777777" w:rsidR="004E233F" w:rsidRDefault="004E233F" w:rsidP="004E233F">
      <w:pPr>
        <w:pStyle w:val="CommentText"/>
        <w:rPr>
          <w:lang w:val="fr-FR"/>
        </w:rPr>
      </w:pPr>
      <w:r>
        <w:rPr>
          <w:rFonts w:eastAsia="Arial"/>
          <w:color w:val="0070C0"/>
          <w:lang w:val="fr-CA"/>
        </w:rPr>
        <w:t>NEMA 4X : En plus de ce qui est requis dans le NEMA 4; pour protéger contre les environnements difficiles, ou lorsque les nettoyants caustiques, les désinfectants ou les matières corrosives sont répandus et à usage répété (comme les piscines intérieures).</w:t>
      </w:r>
    </w:p>
    <w:p w14:paraId="1B46FAF4" w14:textId="77777777" w:rsidR="004E233F" w:rsidRDefault="004E233F" w:rsidP="004E233F">
      <w:pPr>
        <w:pStyle w:val="CommentText"/>
        <w:rPr>
          <w:lang w:val="fr-FR"/>
        </w:rPr>
      </w:pPr>
    </w:p>
    <w:p w14:paraId="0D1631B2" w14:textId="77777777" w:rsidR="004E233F" w:rsidRDefault="004E233F" w:rsidP="004E233F">
      <w:pPr>
        <w:pStyle w:val="CommentText"/>
        <w:rPr>
          <w:lang w:val="fr-FR"/>
        </w:rPr>
      </w:pPr>
      <w:r>
        <w:rPr>
          <w:rFonts w:eastAsia="Arial"/>
          <w:color w:val="0070C0"/>
          <w:lang w:val="fr-CA"/>
        </w:rPr>
        <w:t>NEMA 7/9 :  Pour protéger contre les matières explosives, les gaz ou les vapeurs.</w:t>
      </w:r>
    </w:p>
    <w:p w14:paraId="508B6859" w14:textId="77777777" w:rsidR="004C5C3E" w:rsidRDefault="004C5C3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7BC451" w15:done="0"/>
  <w15:commentEx w15:paraId="0C271D56" w15:done="0"/>
  <w15:commentEx w15:paraId="508B68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7BC451" w16cid:durableId="26361733"/>
  <w16cid:commentId w16cid:paraId="0C271D56" w16cid:durableId="26361734"/>
  <w16cid:commentId w16cid:paraId="508B6859" w16cid:durableId="263617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2071" w14:textId="77777777" w:rsidR="00617BCE" w:rsidRDefault="00617BCE">
      <w:r>
        <w:separator/>
      </w:r>
    </w:p>
  </w:endnote>
  <w:endnote w:type="continuationSeparator" w:id="0">
    <w:p w14:paraId="100BDA2C" w14:textId="77777777" w:rsidR="00617BCE" w:rsidRDefault="0061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03F" w14:textId="77777777" w:rsidR="004C5C3E" w:rsidRDefault="004C5C3E">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06951CBF" w14:textId="77777777" w:rsidR="004C5C3E" w:rsidRDefault="004C5C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6525" w14:textId="77777777" w:rsidR="004C5C3E" w:rsidRDefault="004C5C3E">
    <w:pPr>
      <w:tabs>
        <w:tab w:val="center" w:pos="5040"/>
        <w:tab w:val="right" w:pos="10079"/>
      </w:tabs>
      <w:rPr>
        <w:rFonts w:cs="Arial"/>
      </w:rPr>
    </w:pPr>
  </w:p>
  <w:p w14:paraId="01E2172F" w14:textId="77777777" w:rsidR="004C5C3E" w:rsidRDefault="003A16CC">
    <w:pPr>
      <w:tabs>
        <w:tab w:val="center" w:pos="5040"/>
        <w:tab w:val="right" w:pos="10079"/>
      </w:tabs>
      <w:rPr>
        <w:rFonts w:cs="Arial"/>
      </w:rPr>
    </w:pPr>
    <w:r>
      <w:rPr>
        <w:rFonts w:eastAsia="Arial" w:cs="Arial"/>
        <w:lang w:val="fr-CA"/>
      </w:rPr>
      <w:t>Actionneurs de portes commerciales</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59A01846" w14:textId="77777777" w:rsidR="004C5C3E" w:rsidRDefault="003A16CC">
    <w:pPr>
      <w:tabs>
        <w:tab w:val="center" w:pos="5040"/>
        <w:tab w:val="right" w:pos="10079"/>
      </w:tabs>
      <w:rPr>
        <w:rFonts w:cs="Arial"/>
      </w:rPr>
    </w:pPr>
    <w:r>
      <w:rPr>
        <w:rFonts w:eastAsia="Arial" w:cs="Arial"/>
        <w:lang w:val="fr-CA"/>
      </w:rPr>
      <w:t>13/4/2022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ED4F5" w14:textId="77777777" w:rsidR="00617BCE" w:rsidRDefault="00617BCE">
      <w:r>
        <w:separator/>
      </w:r>
    </w:p>
  </w:footnote>
  <w:footnote w:type="continuationSeparator" w:id="0">
    <w:p w14:paraId="4E9BBF73" w14:textId="77777777" w:rsidR="00617BCE" w:rsidRDefault="00617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41B9"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22A0317" w14:textId="77777777" w:rsidR="004C5C3E" w:rsidRDefault="004C5C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F3E6"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591922C" w14:textId="77777777" w:rsidR="004C5C3E" w:rsidRDefault="004C5C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9B5A35C6">
      <w:start w:val="1"/>
      <w:numFmt w:val="bullet"/>
      <w:lvlText w:val=""/>
      <w:lvlJc w:val="left"/>
      <w:pPr>
        <w:ind w:left="720" w:hanging="360"/>
      </w:pPr>
      <w:rPr>
        <w:rFonts w:ascii="Symbol" w:hAnsi="Symbol" w:hint="default"/>
      </w:rPr>
    </w:lvl>
    <w:lvl w:ilvl="1" w:tplc="44DC0C9A" w:tentative="1">
      <w:start w:val="1"/>
      <w:numFmt w:val="bullet"/>
      <w:lvlText w:val="o"/>
      <w:lvlJc w:val="left"/>
      <w:pPr>
        <w:ind w:left="1440" w:hanging="360"/>
      </w:pPr>
      <w:rPr>
        <w:rFonts w:ascii="Courier New" w:hAnsi="Courier New" w:cs="Courier New" w:hint="default"/>
      </w:rPr>
    </w:lvl>
    <w:lvl w:ilvl="2" w:tplc="CA1E93CE" w:tentative="1">
      <w:start w:val="1"/>
      <w:numFmt w:val="bullet"/>
      <w:lvlText w:val=""/>
      <w:lvlJc w:val="left"/>
      <w:pPr>
        <w:ind w:left="2160" w:hanging="360"/>
      </w:pPr>
      <w:rPr>
        <w:rFonts w:ascii="Wingdings" w:hAnsi="Wingdings" w:hint="default"/>
      </w:rPr>
    </w:lvl>
    <w:lvl w:ilvl="3" w:tplc="C968380E" w:tentative="1">
      <w:start w:val="1"/>
      <w:numFmt w:val="bullet"/>
      <w:lvlText w:val=""/>
      <w:lvlJc w:val="left"/>
      <w:pPr>
        <w:ind w:left="2880" w:hanging="360"/>
      </w:pPr>
      <w:rPr>
        <w:rFonts w:ascii="Symbol" w:hAnsi="Symbol" w:hint="default"/>
      </w:rPr>
    </w:lvl>
    <w:lvl w:ilvl="4" w:tplc="030C1D78" w:tentative="1">
      <w:start w:val="1"/>
      <w:numFmt w:val="bullet"/>
      <w:lvlText w:val="o"/>
      <w:lvlJc w:val="left"/>
      <w:pPr>
        <w:ind w:left="3600" w:hanging="360"/>
      </w:pPr>
      <w:rPr>
        <w:rFonts w:ascii="Courier New" w:hAnsi="Courier New" w:cs="Courier New" w:hint="default"/>
      </w:rPr>
    </w:lvl>
    <w:lvl w:ilvl="5" w:tplc="FF54D9BA" w:tentative="1">
      <w:start w:val="1"/>
      <w:numFmt w:val="bullet"/>
      <w:lvlText w:val=""/>
      <w:lvlJc w:val="left"/>
      <w:pPr>
        <w:ind w:left="4320" w:hanging="360"/>
      </w:pPr>
      <w:rPr>
        <w:rFonts w:ascii="Wingdings" w:hAnsi="Wingdings" w:hint="default"/>
      </w:rPr>
    </w:lvl>
    <w:lvl w:ilvl="6" w:tplc="72FCA7FE" w:tentative="1">
      <w:start w:val="1"/>
      <w:numFmt w:val="bullet"/>
      <w:lvlText w:val=""/>
      <w:lvlJc w:val="left"/>
      <w:pPr>
        <w:ind w:left="5040" w:hanging="360"/>
      </w:pPr>
      <w:rPr>
        <w:rFonts w:ascii="Symbol" w:hAnsi="Symbol" w:hint="default"/>
      </w:rPr>
    </w:lvl>
    <w:lvl w:ilvl="7" w:tplc="5D7E3AE8" w:tentative="1">
      <w:start w:val="1"/>
      <w:numFmt w:val="bullet"/>
      <w:lvlText w:val="o"/>
      <w:lvlJc w:val="left"/>
      <w:pPr>
        <w:ind w:left="5760" w:hanging="360"/>
      </w:pPr>
      <w:rPr>
        <w:rFonts w:ascii="Courier New" w:hAnsi="Courier New" w:cs="Courier New" w:hint="default"/>
      </w:rPr>
    </w:lvl>
    <w:lvl w:ilvl="8" w:tplc="65A02CD0"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4336C6AE">
      <w:start w:val="1"/>
      <w:numFmt w:val="bullet"/>
      <w:lvlText w:val=""/>
      <w:lvlJc w:val="left"/>
      <w:pPr>
        <w:ind w:left="720" w:hanging="360"/>
      </w:pPr>
      <w:rPr>
        <w:rFonts w:ascii="Symbol" w:hAnsi="Symbol" w:hint="default"/>
      </w:rPr>
    </w:lvl>
    <w:lvl w:ilvl="1" w:tplc="BAA82F2C" w:tentative="1">
      <w:start w:val="1"/>
      <w:numFmt w:val="bullet"/>
      <w:lvlText w:val="o"/>
      <w:lvlJc w:val="left"/>
      <w:pPr>
        <w:ind w:left="1440" w:hanging="360"/>
      </w:pPr>
      <w:rPr>
        <w:rFonts w:ascii="Courier New" w:hAnsi="Courier New" w:cs="Courier New" w:hint="default"/>
      </w:rPr>
    </w:lvl>
    <w:lvl w:ilvl="2" w:tplc="075EDD92" w:tentative="1">
      <w:start w:val="1"/>
      <w:numFmt w:val="bullet"/>
      <w:lvlText w:val=""/>
      <w:lvlJc w:val="left"/>
      <w:pPr>
        <w:ind w:left="2160" w:hanging="360"/>
      </w:pPr>
      <w:rPr>
        <w:rFonts w:ascii="Wingdings" w:hAnsi="Wingdings" w:hint="default"/>
      </w:rPr>
    </w:lvl>
    <w:lvl w:ilvl="3" w:tplc="D0CCB7FA" w:tentative="1">
      <w:start w:val="1"/>
      <w:numFmt w:val="bullet"/>
      <w:lvlText w:val=""/>
      <w:lvlJc w:val="left"/>
      <w:pPr>
        <w:ind w:left="2880" w:hanging="360"/>
      </w:pPr>
      <w:rPr>
        <w:rFonts w:ascii="Symbol" w:hAnsi="Symbol" w:hint="default"/>
      </w:rPr>
    </w:lvl>
    <w:lvl w:ilvl="4" w:tplc="600C36D2" w:tentative="1">
      <w:start w:val="1"/>
      <w:numFmt w:val="bullet"/>
      <w:lvlText w:val="o"/>
      <w:lvlJc w:val="left"/>
      <w:pPr>
        <w:ind w:left="3600" w:hanging="360"/>
      </w:pPr>
      <w:rPr>
        <w:rFonts w:ascii="Courier New" w:hAnsi="Courier New" w:cs="Courier New" w:hint="default"/>
      </w:rPr>
    </w:lvl>
    <w:lvl w:ilvl="5" w:tplc="88FA4AD0" w:tentative="1">
      <w:start w:val="1"/>
      <w:numFmt w:val="bullet"/>
      <w:lvlText w:val=""/>
      <w:lvlJc w:val="left"/>
      <w:pPr>
        <w:ind w:left="4320" w:hanging="360"/>
      </w:pPr>
      <w:rPr>
        <w:rFonts w:ascii="Wingdings" w:hAnsi="Wingdings" w:hint="default"/>
      </w:rPr>
    </w:lvl>
    <w:lvl w:ilvl="6" w:tplc="77F8E97A" w:tentative="1">
      <w:start w:val="1"/>
      <w:numFmt w:val="bullet"/>
      <w:lvlText w:val=""/>
      <w:lvlJc w:val="left"/>
      <w:pPr>
        <w:ind w:left="5040" w:hanging="360"/>
      </w:pPr>
      <w:rPr>
        <w:rFonts w:ascii="Symbol" w:hAnsi="Symbol" w:hint="default"/>
      </w:rPr>
    </w:lvl>
    <w:lvl w:ilvl="7" w:tplc="91C0EE7E" w:tentative="1">
      <w:start w:val="1"/>
      <w:numFmt w:val="bullet"/>
      <w:lvlText w:val="o"/>
      <w:lvlJc w:val="left"/>
      <w:pPr>
        <w:ind w:left="5760" w:hanging="360"/>
      </w:pPr>
      <w:rPr>
        <w:rFonts w:ascii="Courier New" w:hAnsi="Courier New" w:cs="Courier New" w:hint="default"/>
      </w:rPr>
    </w:lvl>
    <w:lvl w:ilvl="8" w:tplc="FA729BF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3E"/>
    <w:rsid w:val="00144A5D"/>
    <w:rsid w:val="003A16CC"/>
    <w:rsid w:val="004C5C3E"/>
    <w:rsid w:val="004D2F70"/>
    <w:rsid w:val="004E233F"/>
    <w:rsid w:val="00617BCE"/>
    <w:rsid w:val="00862B6D"/>
    <w:rsid w:val="00E766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674D8"/>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Mentionnonrsolue1">
    <w:name w:val="Mention non résolue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rFonts w:ascii="Arial" w:hAnsi="Arial"/>
    </w:rPr>
  </w:style>
  <w:style w:type="table" w:styleId="TableGrid">
    <w:name w:val="Table Grid"/>
    <w:basedOn w:val="TableNormal"/>
    <w:uiPriority w:val="39"/>
    <w:rsid w:val="00862B6D"/>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390</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2021-02-09T18:34:00Z</cp:lastPrinted>
  <dcterms:created xsi:type="dcterms:W3CDTF">2022-05-24T18:54:00Z</dcterms:created>
  <dcterms:modified xsi:type="dcterms:W3CDTF">2022-05-24T18:54:00Z</dcterms:modified>
</cp:coreProperties>
</file>