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fr-CA"/>
        </w:rPr>
      </w:pPr>
      <w:r>
        <w:rPr>
          <w:rFonts w:eastAsia="Arial"/>
          <w:sz w:val="20"/>
          <w:szCs w:val="20"/>
          <w:lang w:val="fr-CA"/>
        </w:rPr>
        <w:t>SECTION 08 71 13.10</w:t>
      </w:r>
    </w:p>
    <w:p>
      <w:pPr>
        <w:pStyle w:val="ARCATNormal"/>
        <w:rPr>
          <w:sz w:val="20"/>
          <w:lang w:val="fr-CA"/>
        </w:rPr>
      </w:pPr>
    </w:p>
    <w:p>
      <w:pPr>
        <w:pStyle w:val="ARCATTitle"/>
        <w:jc w:val="center"/>
        <w:outlineLvl w:val="0"/>
        <w:rPr>
          <w:sz w:val="20"/>
          <w:lang w:val="fr-CA"/>
        </w:rPr>
      </w:pPr>
      <w:r>
        <w:rPr>
          <w:rFonts w:eastAsia="Arial"/>
          <w:sz w:val="20"/>
          <w:szCs w:val="20"/>
          <w:lang w:val="fr-CA"/>
        </w:rPr>
        <w:t>ACTIONNEURS DE PORTE AUTOMATIQUE - USAGE RÉSIDENTIEL</w:t>
      </w:r>
    </w:p>
    <w:p>
      <w:pPr>
        <w:pStyle w:val="ARCATNormal"/>
        <w:rPr>
          <w:sz w:val="20"/>
          <w:lang w:val="fr-CA"/>
        </w:rPr>
      </w:pPr>
    </w:p>
    <w:p>
      <w:pPr>
        <w:pStyle w:val="ARCATTitle"/>
        <w:jc w:val="center"/>
        <w:rPr>
          <w:sz w:val="20"/>
          <w:lang w:val="fr-CA"/>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fr-CA"/>
        </w:rPr>
      </w:pPr>
    </w:p>
    <w:p>
      <w:pPr>
        <w:pStyle w:val="ARCATNormal"/>
        <w:rPr>
          <w:sz w:val="20"/>
          <w:lang w:val="fr-CA"/>
        </w:rPr>
      </w:pPr>
    </w:p>
    <w:p>
      <w:pPr>
        <w:pStyle w:val="ARCATTitleOfSection"/>
        <w:rPr>
          <w:lang w:val="fr-CA"/>
        </w:rPr>
      </w:pPr>
      <w:r>
        <w:rPr>
          <w:rFonts w:eastAsia="Arial"/>
          <w:lang w:val="fr-CA"/>
        </w:rPr>
        <w:t>Afficher les remarques masquées au rédacteur en utilisant « Outils »/« Options »/« Afficher »/« Texte masqué ».</w:t>
      </w:r>
    </w:p>
    <w:p>
      <w:pPr>
        <w:pStyle w:val="ARCATTitle"/>
        <w:jc w:val="center"/>
        <w:rPr>
          <w:sz w:val="20"/>
          <w:lang w:val="fr-CA"/>
        </w:rPr>
      </w:pPr>
    </w:p>
    <w:p>
      <w:pPr>
        <w:pStyle w:val="ARCATNote0"/>
        <w:rPr>
          <w:b w:val="0"/>
          <w:vanish w:val="0"/>
          <w:lang w:val="fr-CA"/>
        </w:rPr>
      </w:pPr>
      <w:r>
        <w:rPr>
          <w:rFonts w:eastAsia="Arial"/>
          <w:b w:val="0"/>
          <w:vanish w:val="0"/>
          <w:lang w:val="fr-CA"/>
        </w:rPr>
        <w:t>** REMARQUE AU RÉDACTEUR ** LiftMaster Group, inc.; Actionneurs de porte électrique résidentielle.</w:t>
      </w:r>
    </w:p>
    <w:p>
      <w:pPr>
        <w:pStyle w:val="ARCATNote0"/>
        <w:rPr>
          <w:b w:val="0"/>
          <w:vanish w:val="0"/>
          <w:lang w:val="fr-CA"/>
        </w:rPr>
      </w:pPr>
    </w:p>
    <w:p>
      <w:pPr>
        <w:pStyle w:val="ARCATNote0"/>
        <w:rPr>
          <w:b w:val="0"/>
          <w:vanish w:val="0"/>
          <w:lang w:val="fr-CA"/>
        </w:rPr>
      </w:pPr>
      <w:r>
        <w:rPr>
          <w:rFonts w:eastAsia="Arial"/>
          <w:b w:val="0"/>
          <w:vanish w:val="0"/>
          <w:lang w:val="fr-CA"/>
        </w:rPr>
        <w:t>Cette section est basée sur les produits de The LiftMaster Group, Inc., entreprise située au :</w:t>
      </w:r>
    </w:p>
    <w:p>
      <w:pPr>
        <w:pStyle w:val="ARCATNote0"/>
        <w:rPr>
          <w:b w:val="0"/>
          <w:vanish w:val="0"/>
        </w:rPr>
      </w:pPr>
      <w:r>
        <w:rPr>
          <w:rFonts w:eastAsia="Arial"/>
          <w:bCs/>
          <w:vanish w:val="0"/>
          <w:lang w:val="fr-CA"/>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fr-CA"/>
        </w:rPr>
      </w:pPr>
      <w:r>
        <w:rPr>
          <w:rFonts w:eastAsia="Arial"/>
          <w:b w:val="0"/>
          <w:vanish w:val="0"/>
        </w:rPr>
        <w:tab/>
      </w:r>
      <w:r>
        <w:rPr>
          <w:rFonts w:eastAsia="Arial"/>
          <w:b w:val="0"/>
          <w:vanish w:val="0"/>
          <w:lang w:val="fr-CA"/>
        </w:rPr>
        <w:t>Tél. : 800 282-6225</w:t>
      </w:r>
      <w:r>
        <w:rPr>
          <w:rFonts w:eastAsia="Arial"/>
          <w:b w:val="0"/>
          <w:vanish w:val="0"/>
          <w:lang w:val="fr-CA"/>
        </w:rPr>
        <w:tab/>
      </w:r>
    </w:p>
    <w:p>
      <w:pPr>
        <w:pStyle w:val="ARCATNote0"/>
        <w:rPr>
          <w:b w:val="0"/>
          <w:vanish w:val="0"/>
          <w:lang w:val="fr-CA"/>
        </w:rPr>
      </w:pPr>
      <w:r>
        <w:rPr>
          <w:rFonts w:eastAsia="Arial"/>
          <w:b w:val="0"/>
          <w:vanish w:val="0"/>
          <w:lang w:val="fr-CA"/>
        </w:rPr>
        <w:tab/>
        <w:t>Courriel :  specs@LiftMaster.com</w:t>
      </w:r>
    </w:p>
    <w:p>
      <w:pPr>
        <w:pStyle w:val="ARCATNote0"/>
        <w:rPr>
          <w:b w:val="0"/>
          <w:vanish w:val="0"/>
          <w:lang w:val="fr-CA"/>
        </w:rPr>
      </w:pPr>
      <w:r>
        <w:rPr>
          <w:rFonts w:eastAsia="Arial"/>
          <w:b w:val="0"/>
          <w:vanish w:val="0"/>
          <w:lang w:val="fr-CA"/>
        </w:rPr>
        <w:tab/>
        <w:t>Site Web :  LiftMaster.com</w:t>
      </w:r>
    </w:p>
    <w:p>
      <w:pPr>
        <w:pStyle w:val="ARCATNote0"/>
        <w:rPr>
          <w:b w:val="0"/>
          <w:vanish w:val="0"/>
          <w:color w:val="0000FF"/>
          <w:lang w:val="fr-CA"/>
        </w:rPr>
      </w:pPr>
      <w:r>
        <w:rPr>
          <w:rFonts w:eastAsia="Arial"/>
          <w:b w:val="0"/>
          <w:vanish w:val="0"/>
          <w:lang w:val="fr-CA"/>
        </w:rPr>
        <w:tab/>
      </w:r>
      <w:hyperlink r:id="rId9" w:history="1">
        <w:r>
          <w:rPr>
            <w:rFonts w:eastAsia="Arial"/>
            <w:b w:val="0"/>
            <w:vanish w:val="0"/>
            <w:color w:val="0000FF"/>
            <w:u w:val="single"/>
            <w:lang w:val="fr-CA"/>
          </w:rPr>
          <w:t>{Cliquer ici} pour de l’information supplémentaire.</w:t>
        </w:r>
      </w:hyperlink>
    </w:p>
    <w:p>
      <w:pPr>
        <w:pStyle w:val="ARCATNote0"/>
        <w:rPr>
          <w:b w:val="0"/>
          <w:vanish w:val="0"/>
          <w:lang w:val="fr-CA"/>
        </w:rPr>
      </w:pPr>
    </w:p>
    <w:p>
      <w:pPr>
        <w:pStyle w:val="ARCATNote0"/>
        <w:rPr>
          <w:b w:val="0"/>
          <w:vanish w:val="0"/>
          <w:lang w:val="fr-CA"/>
        </w:rPr>
      </w:pPr>
      <w:r>
        <w:rPr>
          <w:rFonts w:eastAsia="Arial"/>
          <w:b w:val="0"/>
          <w:vanish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Conseil du bâtiment durable américain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Pr>
            <w:rFonts w:eastAsia="Arial"/>
            <w:b w:val="0"/>
            <w:vanish w:val="0"/>
            <w:lang w:val="fr-CA"/>
          </w:rPr>
          <w:t>specs@LiftMaster.com</w:t>
        </w:r>
      </w:hyperlink>
      <w:r>
        <w:rPr>
          <w:rFonts w:eastAsia="Arial"/>
          <w:b w:val="0"/>
          <w:vanish w:val="0"/>
          <w:lang w:val="fr-CA"/>
        </w:rPr>
        <w:t>.  Pour une bibliothèque complète de devis d’architecte, de dessins d’atelier, de caractéristiques en trois parties au format CSI, de CAO et de modélisations de produits, visitez LiftMaster.com.</w:t>
      </w:r>
    </w:p>
    <w:p>
      <w:pPr>
        <w:pStyle w:val="ARCATPart"/>
      </w:pPr>
      <w:r>
        <w:rPr>
          <w:rFonts w:eastAsia="Arial"/>
          <w:szCs w:val="20"/>
          <w:lang w:val="fr-CA"/>
        </w:rPr>
        <w:t xml:space="preserve">  GÉNÉRALITÉS</w:t>
      </w:r>
    </w:p>
    <w:p>
      <w:pPr>
        <w:pStyle w:val="ARCATArticle"/>
      </w:pPr>
      <w:r>
        <w:rPr>
          <w:rFonts w:eastAsia="Arial"/>
          <w:szCs w:val="20"/>
          <w:lang w:val="fr-CA"/>
        </w:rPr>
        <w:tab/>
        <w:t>LA SECTION COMPREND</w:t>
      </w:r>
    </w:p>
    <w:p>
      <w:pPr>
        <w:pStyle w:val="ARCATParagraph"/>
        <w:numPr>
          <w:ilvl w:val="2"/>
          <w:numId w:val="1"/>
        </w:numPr>
        <w:spacing w:before="200"/>
        <w:ind w:left="1152" w:hanging="576"/>
        <w:rPr>
          <w:sz w:val="20"/>
          <w:lang w:val="fr-CA"/>
        </w:rPr>
      </w:pPr>
      <w:r>
        <w:rPr>
          <w:rFonts w:eastAsia="Arial"/>
          <w:sz w:val="20"/>
          <w:szCs w:val="20"/>
          <w:lang w:val="fr-CA"/>
        </w:rPr>
        <w:t>Ouvre-portes de garage automatiques résidentiels.</w:t>
      </w:r>
    </w:p>
    <w:p>
      <w:pPr>
        <w:pStyle w:val="ARCATSubPara"/>
        <w:numPr>
          <w:ilvl w:val="3"/>
          <w:numId w:val="1"/>
        </w:numPr>
        <w:ind w:left="1728" w:hanging="576"/>
        <w:rPr>
          <w:sz w:val="20"/>
          <w:lang w:val="fr-CA"/>
        </w:rPr>
      </w:pPr>
      <w:r>
        <w:rPr>
          <w:rFonts w:eastAsia="Arial"/>
          <w:sz w:val="20"/>
          <w:szCs w:val="20"/>
          <w:lang w:val="fr-CA"/>
        </w:rPr>
        <w:tab/>
        <w:t>Ouvre-portes de garage à arbre intermédiaire (LiftMaster de modèle 8500W).</w:t>
      </w:r>
    </w:p>
    <w:p>
      <w:pPr>
        <w:pStyle w:val="ARCATArticle"/>
      </w:pPr>
      <w:r>
        <w:rPr>
          <w:rFonts w:eastAsia="Arial"/>
          <w:szCs w:val="20"/>
          <w:lang w:val="fr-CA"/>
        </w:rPr>
        <w:tab/>
        <w:t>SECTIONS CONNEXES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toute section ci-dessous non pertinente pour ce projet; en ajouter d’autres, au besoin.</w:t>
      </w:r>
    </w:p>
    <w:p>
      <w:pPr>
        <w:pStyle w:val="ARCATParagraph"/>
        <w:numPr>
          <w:ilvl w:val="2"/>
          <w:numId w:val="113"/>
        </w:numPr>
        <w:spacing w:before="200"/>
        <w:ind w:left="1152" w:hanging="576"/>
        <w:rPr>
          <w:sz w:val="20"/>
          <w:lang w:val="fr-CA"/>
        </w:rPr>
      </w:pPr>
      <w:r>
        <w:rPr>
          <w:rFonts w:eastAsia="Arial"/>
          <w:sz w:val="20"/>
          <w:szCs w:val="20"/>
          <w:lang w:val="fr-CA"/>
        </w:rPr>
        <w:t>Section 06100 - Charpenterie brute :  Pour installation et exigences de semelle et de fonds de clouage.</w:t>
      </w:r>
    </w:p>
    <w:p>
      <w:pPr>
        <w:pStyle w:val="ARCATParagraph"/>
        <w:numPr>
          <w:ilvl w:val="2"/>
          <w:numId w:val="113"/>
        </w:numPr>
        <w:spacing w:before="200"/>
        <w:ind w:left="1152" w:hanging="576"/>
        <w:rPr>
          <w:sz w:val="20"/>
          <w:lang w:val="fr-CA"/>
        </w:rPr>
      </w:pPr>
      <w:r>
        <w:rPr>
          <w:rFonts w:eastAsia="Arial"/>
          <w:sz w:val="20"/>
          <w:szCs w:val="20"/>
          <w:lang w:val="fr-CA"/>
        </w:rPr>
        <w:t>Section 16050 - Matériaux électriques essentiels et méthodes :  Pour installation et exigences de connexions électriques.</w:t>
      </w:r>
    </w:p>
    <w:p>
      <w:pPr>
        <w:pStyle w:val="ARCATArticle"/>
      </w:pPr>
      <w:r>
        <w:rPr>
          <w:rFonts w:eastAsia="Arial"/>
          <w:szCs w:val="20"/>
          <w:lang w:val="fr-CA"/>
        </w:rPr>
        <w:tab/>
        <w:t>RÉFÉRENCES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les références de la liste ci-dessous qui ne sont pas exigées par le texte de la section modifiée.</w:t>
      </w:r>
    </w:p>
    <w:p>
      <w:pPr>
        <w:pStyle w:val="ARCATParagraph"/>
        <w:numPr>
          <w:ilvl w:val="2"/>
          <w:numId w:val="1"/>
        </w:numPr>
        <w:spacing w:before="200"/>
        <w:ind w:left="1152" w:hanging="576"/>
        <w:rPr>
          <w:sz w:val="20"/>
        </w:rPr>
      </w:pPr>
      <w:r>
        <w:rPr>
          <w:rFonts w:eastAsia="Arial"/>
          <w:sz w:val="20"/>
          <w:szCs w:val="20"/>
          <w:lang w:val="fr-CA"/>
        </w:rPr>
        <w:lastRenderedPageBreak/>
        <w:t>Underwriters Laboratories (UL) - produits homologués UL.</w:t>
      </w:r>
    </w:p>
    <w:p>
      <w:pPr>
        <w:pStyle w:val="ARCATArticle"/>
      </w:pPr>
      <w:r>
        <w:rPr>
          <w:rFonts w:eastAsia="Arial"/>
          <w:szCs w:val="20"/>
          <w:lang w:val="fr-CA"/>
        </w:rPr>
        <w:tab/>
        <w:t>SOUMISSIONS</w:t>
      </w:r>
    </w:p>
    <w:p>
      <w:pPr>
        <w:pStyle w:val="ARCATParagraph"/>
        <w:numPr>
          <w:ilvl w:val="2"/>
          <w:numId w:val="1"/>
        </w:numPr>
        <w:spacing w:before="200"/>
        <w:ind w:left="1152" w:hanging="576"/>
        <w:rPr>
          <w:sz w:val="20"/>
          <w:lang w:val="fr-CA"/>
        </w:rPr>
      </w:pPr>
      <w:r>
        <w:rPr>
          <w:rFonts w:eastAsia="Arial"/>
          <w:sz w:val="20"/>
          <w:szCs w:val="20"/>
          <w:lang w:val="fr-CA"/>
        </w:rPr>
        <w:t>Soumettre en vertu des dispositions de la section 01300.</w:t>
      </w:r>
    </w:p>
    <w:p>
      <w:pPr>
        <w:pStyle w:val="ARCATParagraph"/>
        <w:numPr>
          <w:ilvl w:val="2"/>
          <w:numId w:val="1"/>
        </w:numPr>
        <w:spacing w:before="200"/>
        <w:ind w:left="1152" w:hanging="576"/>
        <w:rPr>
          <w:sz w:val="20"/>
          <w:lang w:val="fr-CA"/>
        </w:rPr>
      </w:pPr>
      <w:r>
        <w:rPr>
          <w:rFonts w:eastAsia="Arial"/>
          <w:sz w:val="20"/>
          <w:szCs w:val="20"/>
          <w:lang w:val="fr-CA"/>
        </w:rPr>
        <w:tab/>
        <w:t>Données sur le produit :  Fiches de données techniques du fabricant pour chaque produit qui sera utilisé, y compris :</w:t>
      </w:r>
    </w:p>
    <w:p>
      <w:pPr>
        <w:pStyle w:val="ARCATSubPara"/>
        <w:numPr>
          <w:ilvl w:val="3"/>
          <w:numId w:val="1"/>
        </w:numPr>
        <w:ind w:left="1728" w:hanging="576"/>
        <w:rPr>
          <w:sz w:val="20"/>
          <w:lang w:val="fr-CA"/>
        </w:rPr>
      </w:pPr>
      <w:r>
        <w:rPr>
          <w:rFonts w:eastAsia="Arial"/>
          <w:sz w:val="20"/>
          <w:szCs w:val="20"/>
          <w:lang w:val="fr-CA"/>
        </w:rPr>
        <w:tab/>
        <w:t>Instructions et recommandations de préparation.</w:t>
      </w:r>
    </w:p>
    <w:p>
      <w:pPr>
        <w:pStyle w:val="ARCATSubPara"/>
        <w:numPr>
          <w:ilvl w:val="3"/>
          <w:numId w:val="1"/>
        </w:numPr>
        <w:ind w:left="1728" w:hanging="576"/>
        <w:rPr>
          <w:sz w:val="20"/>
          <w:lang w:val="fr-CA"/>
        </w:rPr>
      </w:pPr>
      <w:r>
        <w:rPr>
          <w:rFonts w:eastAsia="Arial"/>
          <w:sz w:val="20"/>
          <w:szCs w:val="20"/>
          <w:lang w:val="fr-CA"/>
        </w:rPr>
        <w:tab/>
        <w:t>Exigences et recommandations d’entreposage et de manipulation.</w:t>
      </w:r>
    </w:p>
    <w:p>
      <w:pPr>
        <w:pStyle w:val="ARCATSubPara"/>
        <w:numPr>
          <w:ilvl w:val="3"/>
          <w:numId w:val="1"/>
        </w:numPr>
        <w:ind w:left="1728" w:hanging="576"/>
        <w:rPr>
          <w:sz w:val="20"/>
        </w:rPr>
      </w:pPr>
      <w:r>
        <w:rPr>
          <w:rFonts w:eastAsia="Arial"/>
          <w:sz w:val="20"/>
          <w:szCs w:val="20"/>
          <w:lang w:val="fr-CA"/>
        </w:rPr>
        <w:tab/>
        <w:t>Méthodes d’installation.</w:t>
      </w:r>
    </w:p>
    <w:p>
      <w:pPr>
        <w:pStyle w:val="ARCATSubPara"/>
        <w:numPr>
          <w:ilvl w:val="3"/>
          <w:numId w:val="1"/>
        </w:numPr>
        <w:ind w:left="1728" w:hanging="576"/>
        <w:rPr>
          <w:sz w:val="20"/>
        </w:rPr>
      </w:pPr>
      <w:r>
        <w:rPr>
          <w:rFonts w:eastAsia="Arial"/>
          <w:sz w:val="20"/>
          <w:szCs w:val="20"/>
          <w:lang w:val="fr-CA"/>
        </w:rPr>
        <w:tab/>
        <w:t>Méthodes de nettoyage.</w:t>
      </w:r>
    </w:p>
    <w:p>
      <w:pPr>
        <w:pStyle w:val="ARCATParagraph"/>
        <w:numPr>
          <w:ilvl w:val="2"/>
          <w:numId w:val="1"/>
        </w:numPr>
        <w:spacing w:before="200"/>
        <w:ind w:left="1152" w:hanging="576"/>
        <w:rPr>
          <w:sz w:val="20"/>
          <w:lang w:val="fr-CA"/>
        </w:rPr>
      </w:pPr>
      <w:r>
        <w:rPr>
          <w:rFonts w:eastAsia="Arial"/>
          <w:sz w:val="20"/>
          <w:szCs w:val="20"/>
          <w:lang w:val="fr-CA"/>
        </w:rPr>
        <w:tab/>
        <w:t>Dessins d’atelier :  Soumettre les dessins d’atelier montrant la disposition, les profils et les composants des produits, y compris l’ancrage, les formes d’arêtes et les accessoires.</w:t>
      </w:r>
    </w:p>
    <w:p>
      <w:pPr>
        <w:pStyle w:val="ARCATArticle"/>
        <w:rPr>
          <w:b/>
        </w:rPr>
      </w:pPr>
      <w:r>
        <w:rPr>
          <w:rFonts w:eastAsia="Arial"/>
          <w:szCs w:val="20"/>
          <w:lang w:val="fr-CA"/>
        </w:rPr>
        <w:tab/>
        <w:t>LIVRAISON</w:t>
      </w:r>
      <w:r>
        <w:rPr>
          <w:rFonts w:eastAsia="Arial"/>
          <w:b/>
          <w:bCs/>
          <w:szCs w:val="20"/>
          <w:lang w:val="fr-CA"/>
        </w:rPr>
        <w:t>,</w:t>
      </w:r>
      <w:r>
        <w:rPr>
          <w:rFonts w:eastAsia="Arial"/>
          <w:szCs w:val="20"/>
          <w:lang w:val="fr-CA"/>
        </w:rPr>
        <w:t xml:space="preserve"> ENTREPOSAGE ET MANIPULATION</w:t>
      </w:r>
    </w:p>
    <w:p>
      <w:pPr>
        <w:pStyle w:val="ARCATParagraph"/>
        <w:numPr>
          <w:ilvl w:val="2"/>
          <w:numId w:val="1"/>
        </w:numPr>
        <w:spacing w:before="200"/>
        <w:ind w:left="1152" w:hanging="576"/>
        <w:rPr>
          <w:sz w:val="20"/>
          <w:lang w:val="fr-CA"/>
        </w:rPr>
      </w:pPr>
      <w:r>
        <w:rPr>
          <w:rFonts w:eastAsia="Arial"/>
          <w:sz w:val="20"/>
          <w:szCs w:val="20"/>
          <w:lang w:val="fr-CA"/>
        </w:rPr>
        <w:t>Ranger les produits dans leur emballage d’origine non ouvert et avec les étiquettes intactes jusqu’au moment de l’installation.</w:t>
      </w:r>
    </w:p>
    <w:p>
      <w:pPr>
        <w:pStyle w:val="ARCATParagraph"/>
        <w:numPr>
          <w:ilvl w:val="2"/>
          <w:numId w:val="1"/>
        </w:numPr>
        <w:spacing w:before="200"/>
        <w:ind w:left="1152" w:hanging="576"/>
        <w:rPr>
          <w:sz w:val="20"/>
          <w:lang w:val="fr-CA"/>
        </w:rPr>
      </w:pPr>
      <w:r>
        <w:rPr>
          <w:rFonts w:eastAsia="Arial"/>
          <w:sz w:val="20"/>
          <w:szCs w:val="20"/>
          <w:lang w:val="fr-CA"/>
        </w:rPr>
        <w:t>Prévoir la livraison des ouvre-portes de garage pour que les espaces soient suffisamment achevés de manière à permettre l’installation des ouvre-portes dès leur réception.</w:t>
      </w:r>
    </w:p>
    <w:p>
      <w:pPr>
        <w:pStyle w:val="ARCATArticle"/>
      </w:pPr>
      <w:r>
        <w:rPr>
          <w:rFonts w:eastAsia="Arial"/>
          <w:szCs w:val="20"/>
          <w:lang w:val="fr-CA"/>
        </w:rPr>
        <w:tab/>
        <w:t>GARANTIE</w:t>
      </w:r>
    </w:p>
    <w:p>
      <w:pPr>
        <w:pStyle w:val="ARCATParagraph"/>
        <w:numPr>
          <w:ilvl w:val="2"/>
          <w:numId w:val="1"/>
        </w:numPr>
        <w:spacing w:before="200"/>
        <w:ind w:left="1152" w:hanging="576"/>
        <w:rPr>
          <w:sz w:val="20"/>
          <w:lang w:val="fr-CA"/>
        </w:rPr>
      </w:pPr>
      <w:r>
        <w:rPr>
          <w:rFonts w:eastAsia="Arial"/>
          <w:sz w:val="20"/>
          <w:szCs w:val="20"/>
          <w:lang w:val="fr-CA"/>
        </w:rPr>
        <w:t>Garantie du fabricant. Fournir la garantie standard du fabricant pour chaque produit. Se reporter à l’information particulière à la garantie sous chaque modèle dans la partie 2 de cette section.</w:t>
      </w:r>
    </w:p>
    <w:p>
      <w:pPr>
        <w:pStyle w:val="ARCATPart"/>
      </w:pPr>
      <w:r>
        <w:rPr>
          <w:rFonts w:eastAsia="Arial"/>
          <w:szCs w:val="20"/>
          <w:lang w:val="fr-CA"/>
        </w:rPr>
        <w:t xml:space="preserve">  PRODUITS</w:t>
      </w:r>
    </w:p>
    <w:p>
      <w:pPr>
        <w:pStyle w:val="ARCATArticle"/>
      </w:pPr>
      <w:r>
        <w:rPr>
          <w:rFonts w:eastAsia="Arial"/>
          <w:szCs w:val="20"/>
          <w:lang w:val="fr-CA"/>
        </w:rPr>
        <w:tab/>
        <w:t>FABRICANTS</w:t>
      </w:r>
    </w:p>
    <w:p>
      <w:pPr>
        <w:pStyle w:val="ARCATParagraph"/>
        <w:numPr>
          <w:ilvl w:val="2"/>
          <w:numId w:val="1"/>
        </w:numPr>
        <w:spacing w:before="200"/>
        <w:ind w:left="1152" w:hanging="576"/>
        <w:rPr>
          <w:sz w:val="20"/>
        </w:rPr>
      </w:pPr>
      <w:r>
        <w:rPr>
          <w:rFonts w:eastAsia="Arial"/>
          <w:sz w:val="20"/>
          <w:szCs w:val="20"/>
        </w:rPr>
        <w:t>Fabricant acceptable :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fr-CA"/>
        </w:rPr>
        <w:t xml:space="preserve">Sans frais :  800 282-6225.  Courriel :  specs@LiftMaster.com  Web :  </w:t>
      </w:r>
      <w:hyperlink w:history="1">
        <w:r>
          <w:rPr>
            <w:rFonts w:eastAsia="Arial"/>
            <w:sz w:val="20"/>
            <w:szCs w:val="20"/>
            <w:lang w:val="fr-CA"/>
          </w:rPr>
          <w:t>LiftMaster.com</w:t>
        </w:r>
      </w:hyperlink>
      <w:r>
        <w:rPr>
          <w:rFonts w:eastAsia="Arial"/>
          <w:sz w:val="20"/>
          <w:szCs w:val="20"/>
          <w:lang w:val="fr-CA"/>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l’un des deux paragraphes suivants; coordonner avec les exigences de la section Division 1 sur les options et les substitutions de produits.</w:t>
      </w:r>
    </w:p>
    <w:p>
      <w:pPr>
        <w:pStyle w:val="ARCATParagraph"/>
        <w:numPr>
          <w:ilvl w:val="2"/>
          <w:numId w:val="1"/>
        </w:numPr>
        <w:spacing w:before="200"/>
        <w:ind w:left="1152" w:hanging="576"/>
        <w:rPr>
          <w:sz w:val="20"/>
        </w:rPr>
      </w:pPr>
      <w:r>
        <w:rPr>
          <w:rFonts w:eastAsia="Arial"/>
          <w:sz w:val="20"/>
          <w:szCs w:val="20"/>
          <w:lang w:val="fr-CA"/>
        </w:rPr>
        <w:t>Substitutions :  Non permises.</w:t>
      </w:r>
    </w:p>
    <w:p>
      <w:pPr>
        <w:pStyle w:val="ARCATParagraph"/>
        <w:numPr>
          <w:ilvl w:val="2"/>
          <w:numId w:val="1"/>
        </w:numPr>
        <w:spacing w:before="200"/>
        <w:ind w:left="1152" w:hanging="576"/>
        <w:rPr>
          <w:sz w:val="20"/>
          <w:lang w:val="fr-CA"/>
        </w:rPr>
      </w:pPr>
      <w:r>
        <w:rPr>
          <w:rFonts w:eastAsia="Arial"/>
          <w:sz w:val="20"/>
          <w:szCs w:val="20"/>
          <w:lang w:val="fr-CA"/>
        </w:rPr>
        <w:t>Les demandes de substitutions seront prises en compte conformément aux dispositions de la Section 01600.</w:t>
      </w:r>
    </w:p>
    <w:p>
      <w:pPr>
        <w:pStyle w:val="ARCATArticle"/>
        <w:rPr>
          <w:lang w:val="fr-CA"/>
        </w:rPr>
      </w:pPr>
      <w:r>
        <w:rPr>
          <w:rFonts w:eastAsia="Arial"/>
          <w:szCs w:val="20"/>
          <w:lang w:val="fr-CA"/>
        </w:rPr>
        <w:tab/>
      </w:r>
      <w:r>
        <w:rPr>
          <w:rFonts w:eastAsia="Arial"/>
          <w:szCs w:val="20"/>
          <w:lang w:val="fr-CA"/>
        </w:rPr>
        <w:tab/>
        <w:t>OUVRE-PORTE DE GARAGE À ARBRE INTERMÉDIAIRE</w:t>
      </w:r>
    </w:p>
    <w:p>
      <w:pPr>
        <w:pStyle w:val="ARCATParagraph"/>
        <w:numPr>
          <w:ilvl w:val="2"/>
          <w:numId w:val="1"/>
        </w:numPr>
        <w:tabs>
          <w:tab w:val="left" w:pos="900"/>
        </w:tabs>
        <w:spacing w:before="200"/>
        <w:ind w:left="900" w:hanging="450"/>
        <w:rPr>
          <w:sz w:val="20"/>
          <w:lang w:val="fr-CA"/>
        </w:rPr>
      </w:pPr>
      <w:r>
        <w:rPr>
          <w:rFonts w:eastAsia="Arial"/>
          <w:sz w:val="20"/>
          <w:szCs w:val="20"/>
          <w:lang w:val="fr-CA"/>
        </w:rPr>
        <w:t>Ouvre-porte de garage à arbre intermédiaire :  Ouvre-porte de garage à montage mural c. c. avec capacité de batterie de secours Wi-Fi LiftMaster 8500W.  Ouvre-porte à entraînement direct pour les garages à plafonds très bas, cathédrale ou avec obstructions.</w:t>
      </w:r>
    </w:p>
    <w:p>
      <w:pPr>
        <w:pStyle w:val="ARCATSubPara"/>
        <w:numPr>
          <w:ilvl w:val="3"/>
          <w:numId w:val="143"/>
        </w:numPr>
        <w:ind w:left="1728" w:hanging="576"/>
        <w:rPr>
          <w:sz w:val="20"/>
        </w:rPr>
      </w:pPr>
      <w:r>
        <w:rPr>
          <w:rFonts w:eastAsia="Arial"/>
          <w:sz w:val="20"/>
          <w:szCs w:val="20"/>
          <w:lang w:val="fr-CA"/>
        </w:rPr>
        <w:tab/>
        <w:t xml:space="preserve">Moteur : </w:t>
      </w:r>
    </w:p>
    <w:p>
      <w:pPr>
        <w:pStyle w:val="ARCATSubSub1"/>
        <w:numPr>
          <w:ilvl w:val="4"/>
          <w:numId w:val="143"/>
        </w:numPr>
        <w:ind w:left="2304" w:hanging="576"/>
        <w:rPr>
          <w:sz w:val="20"/>
        </w:rPr>
      </w:pPr>
      <w:r>
        <w:rPr>
          <w:rFonts w:eastAsia="Arial"/>
          <w:sz w:val="20"/>
          <w:szCs w:val="20"/>
          <w:lang w:val="fr-CA"/>
        </w:rPr>
        <w:tab/>
        <w:t>Tension :  12 V c.c.</w:t>
      </w:r>
    </w:p>
    <w:p>
      <w:pPr>
        <w:pStyle w:val="ARCATSubSub1"/>
        <w:numPr>
          <w:ilvl w:val="4"/>
          <w:numId w:val="143"/>
        </w:numPr>
        <w:ind w:left="2304" w:hanging="576"/>
        <w:rPr>
          <w:sz w:val="20"/>
        </w:rPr>
      </w:pPr>
      <w:r>
        <w:rPr>
          <w:rFonts w:eastAsia="Arial"/>
          <w:sz w:val="20"/>
          <w:szCs w:val="20"/>
          <w:lang w:val="fr-CA"/>
        </w:rPr>
        <w:tab/>
        <w:t>Protection thermique :  Automatique.</w:t>
      </w:r>
    </w:p>
    <w:p>
      <w:pPr>
        <w:pStyle w:val="ARCATSubSub1"/>
        <w:numPr>
          <w:ilvl w:val="4"/>
          <w:numId w:val="143"/>
        </w:numPr>
        <w:ind w:left="2304" w:hanging="576"/>
        <w:rPr>
          <w:sz w:val="20"/>
        </w:rPr>
      </w:pPr>
      <w:r>
        <w:rPr>
          <w:rFonts w:eastAsia="Arial"/>
          <w:sz w:val="20"/>
          <w:szCs w:val="20"/>
          <w:lang w:val="fr-CA"/>
        </w:rPr>
        <w:tab/>
        <w:t>Lubrification :  Permanente.</w:t>
      </w:r>
    </w:p>
    <w:p>
      <w:pPr>
        <w:pStyle w:val="ARCATSubPara"/>
        <w:numPr>
          <w:ilvl w:val="3"/>
          <w:numId w:val="143"/>
        </w:numPr>
        <w:ind w:left="1728" w:hanging="576"/>
        <w:rPr>
          <w:sz w:val="20"/>
        </w:rPr>
      </w:pPr>
      <w:r>
        <w:rPr>
          <w:rFonts w:eastAsia="Arial"/>
          <w:sz w:val="20"/>
          <w:szCs w:val="20"/>
          <w:lang w:val="fr-CA"/>
        </w:rPr>
        <w:tab/>
        <w:t xml:space="preserve">Mécanisme d’entraînement :  </w:t>
      </w:r>
    </w:p>
    <w:p>
      <w:pPr>
        <w:pStyle w:val="ARCATSubSub1"/>
        <w:numPr>
          <w:ilvl w:val="4"/>
          <w:numId w:val="143"/>
        </w:numPr>
        <w:ind w:left="2304" w:hanging="576"/>
        <w:rPr>
          <w:sz w:val="20"/>
          <w:lang w:val="fr-CA"/>
        </w:rPr>
      </w:pPr>
      <w:r>
        <w:rPr>
          <w:rFonts w:eastAsia="Arial"/>
          <w:sz w:val="20"/>
          <w:szCs w:val="20"/>
          <w:lang w:val="fr-CA"/>
        </w:rPr>
        <w:tab/>
        <w:t>Moyens d’entraînement :  Chaîne interne et pignon.</w:t>
      </w:r>
    </w:p>
    <w:p>
      <w:pPr>
        <w:pStyle w:val="ARCATSubSub1"/>
        <w:numPr>
          <w:ilvl w:val="4"/>
          <w:numId w:val="143"/>
        </w:numPr>
        <w:ind w:left="2304" w:hanging="576"/>
        <w:rPr>
          <w:sz w:val="20"/>
        </w:rPr>
      </w:pPr>
      <w:r>
        <w:rPr>
          <w:rFonts w:eastAsia="Arial"/>
          <w:sz w:val="20"/>
          <w:szCs w:val="20"/>
          <w:lang w:val="fr-CA"/>
        </w:rPr>
        <w:lastRenderedPageBreak/>
        <w:t xml:space="preserve"> </w:t>
      </w:r>
      <w:r>
        <w:rPr>
          <w:rFonts w:eastAsia="Arial"/>
          <w:sz w:val="20"/>
          <w:szCs w:val="20"/>
          <w:lang w:val="fr-CA"/>
        </w:rPr>
        <w:tab/>
        <w:t>Moyens de démultiplication :  Engrenage 63:1.</w:t>
      </w:r>
    </w:p>
    <w:p>
      <w:pPr>
        <w:pStyle w:val="ARCATSubPara"/>
        <w:numPr>
          <w:ilvl w:val="3"/>
          <w:numId w:val="143"/>
        </w:numPr>
        <w:ind w:left="1728" w:hanging="576"/>
        <w:rPr>
          <w:sz w:val="20"/>
        </w:rPr>
      </w:pPr>
      <w:r>
        <w:rPr>
          <w:rFonts w:eastAsia="Arial"/>
          <w:sz w:val="20"/>
          <w:szCs w:val="20"/>
          <w:lang w:val="fr-CA"/>
        </w:rPr>
        <w:tab/>
        <w:t>Type de logique :</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Microcontrôleur à semi-conducteurs avec parasurtenseur intégré.</w:t>
      </w:r>
    </w:p>
    <w:p>
      <w:pPr>
        <w:pStyle w:val="ARCATSubPara"/>
        <w:numPr>
          <w:ilvl w:val="3"/>
          <w:numId w:val="143"/>
        </w:numPr>
        <w:ind w:left="1728" w:hanging="576"/>
        <w:rPr>
          <w:sz w:val="20"/>
        </w:rPr>
      </w:pPr>
      <w:r>
        <w:rPr>
          <w:rFonts w:eastAsia="Arial"/>
          <w:sz w:val="20"/>
          <w:szCs w:val="20"/>
          <w:lang w:val="fr-CA"/>
        </w:rPr>
        <w:t xml:space="preserve"> </w:t>
      </w:r>
      <w:r>
        <w:rPr>
          <w:rFonts w:eastAsia="Arial"/>
          <w:sz w:val="20"/>
          <w:szCs w:val="20"/>
          <w:lang w:val="fr-CA"/>
        </w:rPr>
        <w:tab/>
        <w:t>Dimensions :</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Dimensions de l’ouvre-porte de garage : 201 mm P x 546 mm H x 191 mm L (7-7/8 po P x 21-1/2 po H x 7-1/2 po L).</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Taille maximale de la porte : 4 267 mm (14 pi) de hauteur. Surface totale 16,7 m2 (180 pi2).</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Dégagement de la tête requis : à 77 mm (3 po) du centre de la barre de torsion.</w:t>
      </w:r>
    </w:p>
    <w:p>
      <w:pPr>
        <w:pStyle w:val="ARCATSubPara"/>
        <w:numPr>
          <w:ilvl w:val="3"/>
          <w:numId w:val="143"/>
        </w:numPr>
        <w:ind w:left="1728" w:hanging="576"/>
        <w:rPr>
          <w:sz w:val="20"/>
          <w:lang w:val="fr-CA"/>
        </w:rPr>
      </w:pPr>
      <w:r>
        <w:rPr>
          <w:rFonts w:eastAsia="Arial"/>
          <w:sz w:val="20"/>
          <w:szCs w:val="20"/>
          <w:lang w:val="fr-CA"/>
        </w:rPr>
        <w:t xml:space="preserve"> </w:t>
      </w:r>
      <w:r>
        <w:rPr>
          <w:rFonts w:eastAsia="Arial"/>
          <w:sz w:val="20"/>
          <w:szCs w:val="20"/>
          <w:lang w:val="fr-CA"/>
        </w:rPr>
        <w:tab/>
        <w:t>Poids à l’expédition : 17 kg (38 lb).</w:t>
      </w:r>
    </w:p>
    <w:p>
      <w:pPr>
        <w:pStyle w:val="ARCATSubPara"/>
        <w:numPr>
          <w:ilvl w:val="3"/>
          <w:numId w:val="143"/>
        </w:numPr>
        <w:ind w:left="1728" w:hanging="576"/>
        <w:rPr>
          <w:sz w:val="20"/>
        </w:rPr>
      </w:pPr>
      <w:r>
        <w:rPr>
          <w:rFonts w:eastAsia="Arial"/>
          <w:sz w:val="20"/>
          <w:szCs w:val="20"/>
          <w:lang w:val="fr-CA"/>
        </w:rPr>
        <w:t xml:space="preserve"> </w:t>
      </w:r>
      <w:r>
        <w:rPr>
          <w:rFonts w:eastAsia="Arial"/>
          <w:sz w:val="20"/>
          <w:szCs w:val="20"/>
          <w:lang w:val="fr-CA"/>
        </w:rPr>
        <w:tab/>
        <w:t>Réglages :</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Force automatique.</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Réglages de limites électroniques.</w:t>
      </w:r>
    </w:p>
    <w:p>
      <w:pPr>
        <w:pStyle w:val="ARCATSubPara"/>
        <w:numPr>
          <w:ilvl w:val="3"/>
          <w:numId w:val="143"/>
        </w:numPr>
        <w:ind w:left="1728" w:hanging="576"/>
        <w:rPr>
          <w:sz w:val="20"/>
        </w:rPr>
      </w:pPr>
      <w:r>
        <w:rPr>
          <w:rFonts w:eastAsia="Arial"/>
          <w:sz w:val="20"/>
          <w:szCs w:val="20"/>
          <w:lang w:val="fr-CA"/>
        </w:rPr>
        <w:t xml:space="preserve"> </w:t>
      </w:r>
      <w:r>
        <w:rPr>
          <w:rFonts w:eastAsia="Arial"/>
          <w:sz w:val="20"/>
          <w:szCs w:val="20"/>
          <w:lang w:val="fr-CA"/>
        </w:rPr>
        <w:tab/>
        <w:t>Vitesse de course :</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218 mm (8 3/5 po) par seconde (environ).</w:t>
      </w:r>
    </w:p>
    <w:p>
      <w:pPr>
        <w:pStyle w:val="ARCATSubPara"/>
        <w:numPr>
          <w:ilvl w:val="3"/>
          <w:numId w:val="143"/>
        </w:numPr>
        <w:ind w:left="1728" w:hanging="576"/>
        <w:rPr>
          <w:sz w:val="20"/>
        </w:rPr>
      </w:pPr>
      <w:r>
        <w:rPr>
          <w:rFonts w:eastAsia="Arial"/>
          <w:sz w:val="20"/>
          <w:szCs w:val="20"/>
          <w:lang w:val="fr-CA"/>
        </w:rPr>
        <w:t xml:space="preserve"> </w:t>
      </w:r>
      <w:r>
        <w:rPr>
          <w:rFonts w:eastAsia="Arial"/>
          <w:sz w:val="20"/>
          <w:szCs w:val="20"/>
          <w:lang w:val="fr-CA"/>
        </w:rPr>
        <w:tab/>
        <w:t>Électrique :</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Tension :  120 V c. a., 60 Hz.</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Puissance : 120W.</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Courant nominal :  1.5A.</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Homologué UL.</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Longueur du cordon d’alimentation avec fiche à 3 broches : 1 829 mm (6 pi).</w:t>
      </w:r>
    </w:p>
    <w:p>
      <w:pPr>
        <w:pStyle w:val="ARCATSubPara"/>
        <w:numPr>
          <w:ilvl w:val="3"/>
          <w:numId w:val="143"/>
        </w:numPr>
        <w:ind w:left="1710" w:hanging="630"/>
        <w:rPr>
          <w:sz w:val="20"/>
        </w:rPr>
      </w:pPr>
      <w:r>
        <w:rPr>
          <w:rFonts w:eastAsia="Arial"/>
          <w:sz w:val="20"/>
          <w:szCs w:val="20"/>
          <w:lang w:val="fr-CA"/>
        </w:rPr>
        <w:t xml:space="preserve"> </w:t>
      </w:r>
      <w:r>
        <w:rPr>
          <w:rFonts w:eastAsia="Arial"/>
          <w:sz w:val="20"/>
          <w:szCs w:val="20"/>
          <w:lang w:val="fr-CA"/>
        </w:rPr>
        <w:tab/>
        <w:t>Commandes radio Security+ 2.0 :</w:t>
      </w:r>
    </w:p>
    <w:p>
      <w:pPr>
        <w:pStyle w:val="ARCATSubPara"/>
        <w:numPr>
          <w:ilvl w:val="4"/>
          <w:numId w:val="143"/>
        </w:numPr>
        <w:ind w:left="2250" w:hanging="540"/>
        <w:rPr>
          <w:sz w:val="20"/>
          <w:lang w:val="fr-CA"/>
        </w:rPr>
      </w:pPr>
      <w:r>
        <w:rPr>
          <w:rFonts w:eastAsia="Arial"/>
          <w:sz w:val="20"/>
          <w:szCs w:val="20"/>
          <w:lang w:val="fr-CA"/>
        </w:rPr>
        <w:t xml:space="preserve"> </w:t>
      </w:r>
      <w:r>
        <w:rPr>
          <w:rFonts w:eastAsia="Arial"/>
          <w:sz w:val="20"/>
          <w:szCs w:val="20"/>
          <w:lang w:val="fr-CA"/>
        </w:rPr>
        <w:tab/>
        <w:t xml:space="preserve">Télécommande à 3 boutons LiftMaster 893MAX.  </w:t>
      </w:r>
    </w:p>
    <w:p>
      <w:pPr>
        <w:pStyle w:val="ARCATSubPara"/>
        <w:numPr>
          <w:ilvl w:val="4"/>
          <w:numId w:val="143"/>
        </w:numPr>
        <w:ind w:left="2250" w:hanging="540"/>
        <w:rPr>
          <w:sz w:val="20"/>
          <w:lang w:val="fr-CA"/>
        </w:rPr>
      </w:pPr>
      <w:r>
        <w:rPr>
          <w:rFonts w:eastAsia="Arial"/>
          <w:sz w:val="20"/>
          <w:szCs w:val="20"/>
          <w:lang w:val="fr-CA"/>
        </w:rPr>
        <w:tab/>
        <w:t xml:space="preserve">Système de codage :  Bouton et témoin lumineux de code de récepteur intelligent.   </w:t>
      </w:r>
    </w:p>
    <w:p>
      <w:pPr>
        <w:pStyle w:val="ARCATSubPara"/>
        <w:numPr>
          <w:ilvl w:val="4"/>
          <w:numId w:val="143"/>
        </w:numPr>
        <w:ind w:left="2340" w:hanging="630"/>
        <w:rPr>
          <w:sz w:val="20"/>
          <w:lang w:val="fr-CA"/>
        </w:rPr>
      </w:pPr>
      <w:r>
        <w:rPr>
          <w:rFonts w:eastAsia="Arial"/>
          <w:sz w:val="20"/>
          <w:szCs w:val="20"/>
          <w:lang w:val="fr-CA"/>
        </w:rPr>
        <w:tab/>
        <w:t xml:space="preserve">Plage de fonctionnement : environ 61 m (200 pi). </w:t>
      </w:r>
    </w:p>
    <w:p>
      <w:pPr>
        <w:pStyle w:val="ARCATSubPara"/>
        <w:numPr>
          <w:ilvl w:val="4"/>
          <w:numId w:val="143"/>
        </w:numPr>
        <w:ind w:left="2340" w:hanging="630"/>
        <w:rPr>
          <w:sz w:val="20"/>
          <w:lang w:val="fr-CA"/>
        </w:rPr>
      </w:pPr>
      <w:r>
        <w:rPr>
          <w:rFonts w:eastAsia="Arial"/>
          <w:sz w:val="20"/>
          <w:szCs w:val="20"/>
          <w:lang w:val="fr-CA"/>
        </w:rPr>
        <w:tab/>
        <w:t xml:space="preserve">Température de fonctionnement :-35 °C (-31 °F) à 65 °C (149 °F).  </w:t>
      </w:r>
    </w:p>
    <w:p>
      <w:pPr>
        <w:pStyle w:val="ARCATSubPara"/>
        <w:numPr>
          <w:ilvl w:val="4"/>
          <w:numId w:val="143"/>
        </w:numPr>
        <w:ind w:left="2340" w:hanging="630"/>
        <w:rPr>
          <w:sz w:val="20"/>
          <w:lang w:val="fr-CA"/>
        </w:rPr>
      </w:pPr>
      <w:r>
        <w:rPr>
          <w:rFonts w:eastAsia="Arial"/>
          <w:sz w:val="20"/>
          <w:szCs w:val="20"/>
          <w:lang w:val="fr-CA"/>
        </w:rPr>
        <w:tab/>
        <w:t>Fréquence radio de la télécommande : Security+ 2.0</w:t>
      </w:r>
      <w:r>
        <w:rPr>
          <w:rFonts w:eastAsia="Arial"/>
          <w:sz w:val="20"/>
          <w:szCs w:val="20"/>
          <w:vertAlign w:val="superscript"/>
          <w:lang w:val="fr-CA"/>
        </w:rPr>
        <w:t>®</w:t>
      </w:r>
      <w:r>
        <w:rPr>
          <w:rFonts w:eastAsia="Arial"/>
          <w:sz w:val="20"/>
          <w:szCs w:val="20"/>
          <w:lang w:val="fr-CA"/>
        </w:rPr>
        <w:t xml:space="preserve">.  </w:t>
      </w:r>
    </w:p>
    <w:p>
      <w:pPr>
        <w:pStyle w:val="ARCATSubPara"/>
        <w:numPr>
          <w:ilvl w:val="4"/>
          <w:numId w:val="143"/>
        </w:numPr>
        <w:ind w:left="2340" w:hanging="630"/>
        <w:rPr>
          <w:sz w:val="20"/>
          <w:lang w:val="fr-CA"/>
        </w:rPr>
      </w:pPr>
      <w:r>
        <w:rPr>
          <w:rFonts w:eastAsia="Arial"/>
          <w:sz w:val="20"/>
          <w:szCs w:val="20"/>
          <w:lang w:val="fr-CA"/>
        </w:rPr>
        <w:tab/>
        <w:t>Fréquence du récepteur radio : Security+ 2.0</w:t>
      </w:r>
      <w:r>
        <w:rPr>
          <w:rFonts w:eastAsia="Arial"/>
          <w:sz w:val="20"/>
          <w:szCs w:val="20"/>
          <w:vertAlign w:val="superscript"/>
          <w:lang w:val="fr-CA"/>
        </w:rPr>
        <w:t>®</w:t>
      </w:r>
      <w:r>
        <w:rPr>
          <w:rFonts w:eastAsia="Arial"/>
          <w:sz w:val="20"/>
          <w:szCs w:val="20"/>
          <w:lang w:val="fr-CA"/>
        </w:rPr>
        <w:t>.</w:t>
      </w:r>
    </w:p>
    <w:p>
      <w:pPr>
        <w:pStyle w:val="ARCATSubPara"/>
        <w:numPr>
          <w:ilvl w:val="3"/>
          <w:numId w:val="143"/>
        </w:numPr>
        <w:ind w:left="1728" w:hanging="576"/>
        <w:rPr>
          <w:sz w:val="20"/>
        </w:rPr>
      </w:pPr>
      <w:r>
        <w:rPr>
          <w:rFonts w:eastAsia="Arial"/>
          <w:sz w:val="20"/>
          <w:szCs w:val="20"/>
          <w:lang w:val="fr-CA"/>
        </w:rPr>
        <w:t xml:space="preserve"> </w:t>
      </w:r>
      <w:r>
        <w:rPr>
          <w:rFonts w:eastAsia="Arial"/>
          <w:sz w:val="20"/>
          <w:szCs w:val="20"/>
          <w:lang w:val="fr-CA"/>
        </w:rPr>
        <w:tab/>
        <w:t>Radio activée par MyQ :</w:t>
      </w:r>
    </w:p>
    <w:p>
      <w:pPr>
        <w:pStyle w:val="ARCATSubSub1"/>
        <w:numPr>
          <w:ilvl w:val="4"/>
          <w:numId w:val="143"/>
        </w:numPr>
        <w:ind w:left="2304" w:hanging="576"/>
        <w:rPr>
          <w:sz w:val="20"/>
        </w:rPr>
      </w:pPr>
      <w:r>
        <w:rPr>
          <w:rFonts w:eastAsia="Arial"/>
          <w:sz w:val="20"/>
          <w:szCs w:val="20"/>
          <w:lang w:val="fr-CA"/>
        </w:rPr>
        <w:tab/>
        <w:t>902 à 928 MHz.</w:t>
      </w:r>
    </w:p>
    <w:p>
      <w:pPr>
        <w:pStyle w:val="ARCATSubSub1"/>
        <w:numPr>
          <w:ilvl w:val="4"/>
          <w:numId w:val="143"/>
        </w:numPr>
        <w:ind w:left="2304" w:hanging="576"/>
        <w:rPr>
          <w:sz w:val="20"/>
          <w:lang w:val="fr-CA"/>
        </w:rPr>
      </w:pPr>
      <w:r>
        <w:rPr>
          <w:rFonts w:eastAsia="Arial"/>
          <w:sz w:val="20"/>
          <w:szCs w:val="20"/>
          <w:lang w:val="fr-CA"/>
        </w:rPr>
        <w:tab/>
        <w:t>50 canaux FHSS (étalement de spectre avec sauts de fréquence).</w:t>
      </w:r>
    </w:p>
    <w:p>
      <w:pPr>
        <w:pStyle w:val="ARCATSubSub1"/>
        <w:numPr>
          <w:ilvl w:val="4"/>
          <w:numId w:val="143"/>
        </w:numPr>
        <w:ind w:left="2304" w:hanging="576"/>
        <w:rPr>
          <w:sz w:val="20"/>
          <w:lang w:val="fr-CA"/>
        </w:rPr>
      </w:pPr>
      <w:r>
        <w:rPr>
          <w:rFonts w:eastAsia="Arial"/>
          <w:sz w:val="20"/>
          <w:szCs w:val="20"/>
          <w:lang w:val="fr-CA"/>
        </w:rPr>
        <w:tab/>
        <w:t>Fournit une communication bidirectionnelle à partir de l’ouvre-porte de garage et des accessoires MyQ.</w:t>
      </w:r>
    </w:p>
    <w:p>
      <w:pPr>
        <w:pStyle w:val="ARCATSubSub1"/>
        <w:numPr>
          <w:ilvl w:val="4"/>
          <w:numId w:val="143"/>
        </w:numPr>
        <w:ind w:left="2304" w:hanging="576"/>
        <w:rPr>
          <w:sz w:val="20"/>
          <w:lang w:val="fr-CA"/>
        </w:rPr>
      </w:pPr>
      <w:r>
        <w:rPr>
          <w:rFonts w:eastAsia="Arial"/>
          <w:sz w:val="20"/>
          <w:szCs w:val="20"/>
          <w:lang w:val="fr-CA"/>
        </w:rPr>
        <w:tab/>
        <w:t>Active la fermeture à distance de la porte de garage avec les principaux accessoires MyQ.</w:t>
      </w:r>
    </w:p>
    <w:p>
      <w:pPr>
        <w:pStyle w:val="ARCATSubSub1"/>
        <w:numPr>
          <w:ilvl w:val="4"/>
          <w:numId w:val="32"/>
        </w:numPr>
        <w:ind w:left="2304" w:hanging="576"/>
        <w:rPr>
          <w:sz w:val="20"/>
          <w:lang w:val="fr-CA"/>
        </w:rPr>
      </w:pPr>
      <w:r>
        <w:rPr>
          <w:rFonts w:eastAsia="Arial"/>
          <w:sz w:val="20"/>
          <w:szCs w:val="20"/>
          <w:lang w:val="fr-CA"/>
        </w:rPr>
        <w:tab/>
        <w:t>Active la surveillance et la commande des ouvre-portes de garage et des commandes d’éclairage par un téléphone intelligent, une tablette ou un ordinateur activé par Wi-Fi (vendu séparément).</w:t>
      </w:r>
    </w:p>
    <w:p>
      <w:pPr>
        <w:pStyle w:val="ARCATSubSub1"/>
        <w:numPr>
          <w:ilvl w:val="3"/>
          <w:numId w:val="143"/>
        </w:numPr>
        <w:ind w:left="1710" w:hanging="540"/>
        <w:rPr>
          <w:sz w:val="20"/>
        </w:rPr>
      </w:pPr>
      <w:r>
        <w:rPr>
          <w:rFonts w:eastAsia="Arial"/>
          <w:sz w:val="20"/>
          <w:szCs w:val="20"/>
          <w:lang w:val="fr-CA"/>
        </w:rPr>
        <w:tab/>
        <w:t>Commandes encodées Security+ 2.0 :</w:t>
      </w:r>
    </w:p>
    <w:p>
      <w:pPr>
        <w:pStyle w:val="ARCATSubSub1"/>
        <w:numPr>
          <w:ilvl w:val="8"/>
          <w:numId w:val="142"/>
        </w:numPr>
        <w:ind w:firstLine="1710"/>
        <w:rPr>
          <w:sz w:val="20"/>
        </w:rPr>
      </w:pPr>
      <w:r>
        <w:rPr>
          <w:rFonts w:eastAsia="Arial"/>
          <w:sz w:val="20"/>
          <w:szCs w:val="20"/>
        </w:rPr>
        <w:t>Tableau Smart Control Panel LiftMaster 880LMW.</w:t>
      </w:r>
    </w:p>
    <w:p>
      <w:pPr>
        <w:pStyle w:val="ARCATSubSub1"/>
        <w:numPr>
          <w:ilvl w:val="8"/>
          <w:numId w:val="142"/>
        </w:numPr>
        <w:ind w:firstLine="1710"/>
        <w:rPr>
          <w:sz w:val="20"/>
          <w:lang w:val="fr-CA"/>
        </w:rPr>
      </w:pPr>
      <w:r>
        <w:rPr>
          <w:rFonts w:eastAsia="Arial"/>
          <w:sz w:val="20"/>
          <w:szCs w:val="20"/>
          <w:lang w:val="fr-CA"/>
        </w:rPr>
        <w:t>Écran à cristaux liquides :  Affichage de l’heure, de la température, de la configuration Wi-Fi et de l’état du signal Wi-Fi.</w:t>
      </w:r>
    </w:p>
    <w:p>
      <w:pPr>
        <w:pStyle w:val="ARCATSubSub1"/>
        <w:numPr>
          <w:ilvl w:val="8"/>
          <w:numId w:val="142"/>
        </w:numPr>
        <w:ind w:firstLine="1710"/>
        <w:rPr>
          <w:sz w:val="20"/>
        </w:rPr>
      </w:pPr>
      <w:r>
        <w:rPr>
          <w:rFonts w:eastAsia="Arial"/>
          <w:sz w:val="20"/>
          <w:szCs w:val="20"/>
          <w:lang w:val="fr-CA"/>
        </w:rPr>
        <w:t>Système d’alerte d’entretien.</w:t>
      </w:r>
    </w:p>
    <w:p>
      <w:pPr>
        <w:pStyle w:val="ARCATSubSub1"/>
        <w:numPr>
          <w:ilvl w:val="8"/>
          <w:numId w:val="142"/>
        </w:numPr>
        <w:ind w:firstLine="1710"/>
        <w:rPr>
          <w:sz w:val="20"/>
        </w:rPr>
      </w:pPr>
      <w:r>
        <w:rPr>
          <w:rFonts w:eastAsia="Arial"/>
          <w:sz w:val="20"/>
          <w:szCs w:val="20"/>
          <w:lang w:val="fr-CA"/>
        </w:rPr>
        <w:t>Temporisation de fermeture.</w:t>
      </w:r>
    </w:p>
    <w:p>
      <w:pPr>
        <w:pStyle w:val="ARCATSubSub1"/>
        <w:numPr>
          <w:ilvl w:val="8"/>
          <w:numId w:val="142"/>
        </w:numPr>
        <w:ind w:firstLine="1710"/>
        <w:rPr>
          <w:sz w:val="20"/>
          <w:lang w:val="fr-CA"/>
        </w:rPr>
      </w:pPr>
      <w:r>
        <w:rPr>
          <w:rFonts w:eastAsia="Arial"/>
          <w:sz w:val="20"/>
          <w:szCs w:val="20"/>
          <w:lang w:val="fr-CA"/>
        </w:rPr>
        <w:t>Commandes d’éclairage :  Permet d’allumer ou d’éteindre l’éclairage.</w:t>
      </w:r>
    </w:p>
    <w:p>
      <w:pPr>
        <w:pStyle w:val="ARCATSubSub1"/>
        <w:numPr>
          <w:ilvl w:val="8"/>
          <w:numId w:val="142"/>
        </w:numPr>
        <w:ind w:left="2340" w:hanging="630"/>
        <w:rPr>
          <w:sz w:val="20"/>
          <w:lang w:val="fr-CA"/>
        </w:rPr>
      </w:pPr>
      <w:r>
        <w:rPr>
          <w:rFonts w:eastAsia="Arial"/>
          <w:sz w:val="20"/>
          <w:szCs w:val="20"/>
          <w:lang w:val="fr-CA"/>
        </w:rPr>
        <w:t>Télécommandes programmables, claviers, ouvre-portes de garage Wi-Fi et accessoires MyQ.</w:t>
      </w:r>
    </w:p>
    <w:p>
      <w:pPr>
        <w:pStyle w:val="ARCATSubSub1"/>
        <w:numPr>
          <w:ilvl w:val="8"/>
          <w:numId w:val="142"/>
        </w:numPr>
        <w:ind w:firstLine="1710"/>
        <w:rPr>
          <w:sz w:val="20"/>
          <w:lang w:val="fr-CA"/>
        </w:rPr>
      </w:pPr>
      <w:r>
        <w:rPr>
          <w:rFonts w:eastAsia="Arial"/>
          <w:sz w:val="20"/>
          <w:szCs w:val="20"/>
          <w:lang w:val="fr-CA"/>
        </w:rPr>
        <w:t>Mode de verrouillage :  Verrouille les télécommandes extérieures.</w:t>
      </w:r>
    </w:p>
    <w:p>
      <w:pPr>
        <w:pStyle w:val="ARCATSubSub1"/>
        <w:numPr>
          <w:ilvl w:val="8"/>
          <w:numId w:val="142"/>
        </w:numPr>
        <w:ind w:firstLine="1710"/>
        <w:rPr>
          <w:sz w:val="20"/>
          <w:lang w:val="fr-CA"/>
        </w:rPr>
      </w:pPr>
      <w:r>
        <w:rPr>
          <w:rFonts w:eastAsia="Arial"/>
          <w:sz w:val="20"/>
          <w:szCs w:val="20"/>
          <w:lang w:val="fr-CA"/>
        </w:rPr>
        <w:t>Détection de mouvement :  Éclairage allumé de l’actionneur à mains libres.</w:t>
      </w:r>
    </w:p>
    <w:p>
      <w:pPr>
        <w:pStyle w:val="ARCATSubPara"/>
        <w:numPr>
          <w:ilvl w:val="3"/>
          <w:numId w:val="143"/>
        </w:numPr>
        <w:ind w:left="1728" w:hanging="576"/>
        <w:rPr>
          <w:sz w:val="20"/>
          <w:lang w:val="fr-CA"/>
        </w:rPr>
      </w:pPr>
      <w:r>
        <w:rPr>
          <w:rFonts w:eastAsia="Arial"/>
          <w:sz w:val="20"/>
          <w:szCs w:val="20"/>
          <w:lang w:val="fr-CA"/>
        </w:rPr>
        <w:tab/>
        <w:t>Éclairage à DEL à distance myQ :</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La lampe de télé-éclairage peut être placée n’importe où dans le garage.</w:t>
      </w:r>
    </w:p>
    <w:p>
      <w:pPr>
        <w:pStyle w:val="ARCATSubSub1"/>
        <w:numPr>
          <w:ilvl w:val="4"/>
          <w:numId w:val="143"/>
        </w:numPr>
        <w:ind w:left="2304" w:hanging="576"/>
        <w:rPr>
          <w:sz w:val="20"/>
        </w:rPr>
      </w:pPr>
      <w:r>
        <w:rPr>
          <w:rFonts w:eastAsia="Arial"/>
          <w:sz w:val="20"/>
          <w:szCs w:val="20"/>
          <w:lang w:val="fr-CA"/>
        </w:rPr>
        <w:lastRenderedPageBreak/>
        <w:t xml:space="preserve"> </w:t>
      </w:r>
      <w:r>
        <w:rPr>
          <w:rFonts w:eastAsia="Arial"/>
          <w:sz w:val="20"/>
          <w:szCs w:val="20"/>
          <w:lang w:val="fr-CA"/>
        </w:rPr>
        <w:tab/>
        <w:t>Éclairage à DEL</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1500 lumens</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 xml:space="preserve">Peut être programmée à l’ouverture, à la télécommande ou MyQ </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Délai à semi-conducteurs réglable (1,5 à 4,5 minutes).</w:t>
      </w:r>
    </w:p>
    <w:p>
      <w:pPr>
        <w:pStyle w:val="ARCATSubPara"/>
        <w:numPr>
          <w:ilvl w:val="3"/>
          <w:numId w:val="143"/>
        </w:numPr>
        <w:ind w:left="1728" w:hanging="576"/>
        <w:rPr>
          <w:sz w:val="20"/>
        </w:rPr>
      </w:pPr>
      <w:r>
        <w:rPr>
          <w:rFonts w:eastAsia="Arial"/>
          <w:sz w:val="20"/>
          <w:szCs w:val="20"/>
          <w:lang w:val="fr-CA"/>
        </w:rPr>
        <w:t xml:space="preserve"> </w:t>
      </w:r>
      <w:r>
        <w:rPr>
          <w:rFonts w:eastAsia="Arial"/>
          <w:sz w:val="20"/>
          <w:szCs w:val="20"/>
          <w:lang w:val="fr-CA"/>
        </w:rPr>
        <w:tab/>
        <w:t>Matériaux :</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Châssis :  Acier.</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Couvercle :  Plastique.</w:t>
      </w:r>
    </w:p>
    <w:p>
      <w:pPr>
        <w:pStyle w:val="ARCATSubPara"/>
        <w:numPr>
          <w:ilvl w:val="3"/>
          <w:numId w:val="143"/>
        </w:numPr>
        <w:ind w:left="1728" w:hanging="576"/>
        <w:rPr>
          <w:sz w:val="20"/>
          <w:lang w:val="fr-CA"/>
        </w:rPr>
      </w:pPr>
      <w:r>
        <w:rPr>
          <w:rFonts w:eastAsia="Arial"/>
          <w:sz w:val="20"/>
          <w:szCs w:val="20"/>
          <w:lang w:val="fr-CA"/>
        </w:rPr>
        <w:t xml:space="preserve"> </w:t>
      </w:r>
      <w:r>
        <w:rPr>
          <w:rFonts w:eastAsia="Arial"/>
          <w:sz w:val="20"/>
          <w:szCs w:val="20"/>
          <w:lang w:val="fr-CA"/>
        </w:rPr>
        <w:tab/>
        <w:t>Caractéristiques de commodité / de sécurité :</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Détecteurs inverseurs de sécurité The Protector System.</w:t>
      </w:r>
    </w:p>
    <w:p>
      <w:pPr>
        <w:pStyle w:val="ARCATSubSub1"/>
        <w:numPr>
          <w:ilvl w:val="4"/>
          <w:numId w:val="143"/>
        </w:numPr>
        <w:ind w:left="2304" w:hanging="576"/>
        <w:rPr>
          <w:sz w:val="20"/>
          <w:lang w:val="fr-CA"/>
        </w:rPr>
      </w:pPr>
      <w:r>
        <w:rPr>
          <w:rFonts w:eastAsia="Arial"/>
          <w:sz w:val="20"/>
          <w:szCs w:val="20"/>
          <w:lang w:val="fr-CA"/>
        </w:rPr>
        <w:tab/>
        <w:t>Batterie de secours (pile incluse)</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Fonctionnement de fermeture non supervisée Alert-2-Close avec accessoires choisis (ne doit pas être utilisé sur une porte monopièce).</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Éclairage allumé à mains libres.</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Déclenchement d’urgence / rapide.</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Ouverture de ventilation/pour animal de compagnie.</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Inversion de sécurité vers le bas.</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Butée de sécurité au haut.</w:t>
      </w:r>
    </w:p>
    <w:p>
      <w:pPr>
        <w:pStyle w:val="ARCATSubSub1"/>
        <w:numPr>
          <w:ilvl w:val="4"/>
          <w:numId w:val="143"/>
        </w:numPr>
        <w:ind w:left="2304" w:hanging="576"/>
        <w:rPr>
          <w:sz w:val="20"/>
          <w:lang w:val="fr-CA"/>
        </w:rPr>
      </w:pPr>
      <w:r>
        <w:rPr>
          <w:rFonts w:eastAsia="Arial"/>
          <w:sz w:val="20"/>
          <w:szCs w:val="20"/>
          <w:lang w:val="fr-CA"/>
        </w:rPr>
        <w:t xml:space="preserve"> </w:t>
      </w:r>
      <w:r>
        <w:rPr>
          <w:rFonts w:eastAsia="Arial"/>
          <w:sz w:val="20"/>
          <w:szCs w:val="20"/>
          <w:lang w:val="fr-CA"/>
        </w:rPr>
        <w:tab/>
        <w:t>Porte ouverte / faisceau obstrué / éclairage allumé.</w:t>
      </w:r>
    </w:p>
    <w:p>
      <w:pPr>
        <w:pStyle w:val="ARCATSubSub1"/>
        <w:numPr>
          <w:ilvl w:val="4"/>
          <w:numId w:val="143"/>
        </w:numPr>
        <w:ind w:left="2304" w:hanging="576"/>
        <w:rPr>
          <w:sz w:val="20"/>
        </w:rPr>
      </w:pPr>
      <w:r>
        <w:rPr>
          <w:rFonts w:eastAsia="Arial"/>
          <w:sz w:val="20"/>
          <w:szCs w:val="20"/>
          <w:lang w:val="fr-CA"/>
        </w:rPr>
        <w:t xml:space="preserve"> </w:t>
      </w:r>
      <w:r>
        <w:rPr>
          <w:rFonts w:eastAsia="Arial"/>
          <w:sz w:val="20"/>
          <w:szCs w:val="20"/>
          <w:lang w:val="fr-CA"/>
        </w:rPr>
        <w:tab/>
        <w:t>Démarrage lent / arrêt graduel.</w:t>
      </w:r>
    </w:p>
    <w:p>
      <w:pPr>
        <w:pStyle w:val="ARCATSubPara"/>
        <w:numPr>
          <w:ilvl w:val="3"/>
          <w:numId w:val="143"/>
        </w:numPr>
        <w:ind w:left="1728" w:hanging="576"/>
        <w:rPr>
          <w:sz w:val="20"/>
        </w:rPr>
      </w:pPr>
      <w:r>
        <w:rPr>
          <w:rFonts w:eastAsia="Arial"/>
          <w:sz w:val="20"/>
          <w:szCs w:val="20"/>
          <w:lang w:val="fr-CA"/>
        </w:rPr>
        <w:tab/>
        <w:t>Outils d’installation :</w:t>
      </w:r>
    </w:p>
    <w:p>
      <w:pPr>
        <w:pStyle w:val="ARCATnote"/>
        <w:pBdr>
          <w:top w:val="dotted" w:sz="4" w:space="1" w:color="FF00FF"/>
          <w:left w:val="dotted" w:sz="4" w:space="4" w:color="FF00FF"/>
          <w:bottom w:val="dotted" w:sz="4" w:space="1" w:color="FF00FF"/>
          <w:right w:val="dotted" w:sz="4" w:space="4" w:color="FF00FF"/>
        </w:pBdr>
        <w:rPr>
          <w:b w:val="0"/>
          <w:vanish w:val="0"/>
          <w:lang w:val="fr-CA"/>
        </w:rPr>
      </w:pPr>
      <w:r>
        <w:rPr>
          <w:rFonts w:eastAsia="Arial"/>
          <w:b w:val="0"/>
          <w:vanish w:val="0"/>
          <w:szCs w:val="20"/>
          <w:lang w:val="fr-CA"/>
        </w:rPr>
        <w:t>** REMARQUE AU RÉDACTEUR ** Supprimer les outils d’installation en option si non exigés.</w:t>
      </w:r>
    </w:p>
    <w:p>
      <w:pPr>
        <w:pStyle w:val="ARCATSubSub1"/>
        <w:numPr>
          <w:ilvl w:val="0"/>
          <w:numId w:val="144"/>
        </w:numPr>
        <w:rPr>
          <w:sz w:val="20"/>
          <w:lang w:val="fr-CA"/>
        </w:rPr>
      </w:pPr>
      <w:r>
        <w:rPr>
          <w:rFonts w:eastAsia="Arial"/>
          <w:sz w:val="20"/>
          <w:szCs w:val="20"/>
          <w:lang w:val="fr-CA"/>
        </w:rPr>
        <w:t>Fournir le nécessaire de montage de rechange :  Le nécessaire LiftMaster de modèle 480LM pour obstructions/faible dégagement au plafond abaisse l’ouvre-porte de 152 mm (6 po).</w:t>
      </w:r>
    </w:p>
    <w:p>
      <w:pPr>
        <w:pStyle w:val="ARCATSubPara"/>
        <w:ind w:firstLine="1260"/>
        <w:rPr>
          <w:sz w:val="20"/>
        </w:rPr>
      </w:pPr>
      <w:r>
        <w:rPr>
          <w:rFonts w:eastAsia="Arial"/>
          <w:sz w:val="20"/>
          <w:szCs w:val="20"/>
          <w:lang w:val="fr-CA"/>
        </w:rPr>
        <w:t>16.</w:t>
      </w:r>
      <w:r>
        <w:rPr>
          <w:rFonts w:eastAsia="Arial"/>
          <w:sz w:val="20"/>
          <w:szCs w:val="20"/>
          <w:lang w:val="fr-CA"/>
        </w:rPr>
        <w:tab/>
        <w:t>Garantie :</w:t>
      </w:r>
    </w:p>
    <w:p>
      <w:pPr>
        <w:pStyle w:val="ARCATSubSub1"/>
        <w:numPr>
          <w:ilvl w:val="4"/>
          <w:numId w:val="145"/>
        </w:numPr>
        <w:ind w:left="2304" w:hanging="576"/>
        <w:rPr>
          <w:sz w:val="20"/>
          <w:lang w:val="fr-CA"/>
        </w:rPr>
      </w:pPr>
      <w:r>
        <w:rPr>
          <w:rFonts w:eastAsia="Arial"/>
          <w:sz w:val="20"/>
          <w:szCs w:val="20"/>
          <w:lang w:val="fr-CA"/>
        </w:rPr>
        <w:t xml:space="preserve"> </w:t>
      </w:r>
      <w:r>
        <w:rPr>
          <w:rFonts w:eastAsia="Arial"/>
          <w:sz w:val="20"/>
          <w:szCs w:val="20"/>
          <w:lang w:val="fr-CA"/>
        </w:rPr>
        <w:tab/>
        <w:t>Garantie à vie sur le moteur.</w:t>
      </w:r>
    </w:p>
    <w:p>
      <w:pPr>
        <w:pStyle w:val="ARCATSubSub1"/>
        <w:numPr>
          <w:ilvl w:val="4"/>
          <w:numId w:val="145"/>
        </w:numPr>
        <w:ind w:left="2304" w:hanging="576"/>
        <w:rPr>
          <w:sz w:val="20"/>
          <w:lang w:val="fr-CA"/>
        </w:rPr>
      </w:pPr>
      <w:r>
        <w:rPr>
          <w:rFonts w:eastAsia="Arial"/>
          <w:sz w:val="20"/>
          <w:szCs w:val="20"/>
          <w:lang w:val="fr-CA"/>
        </w:rPr>
        <w:t xml:space="preserve"> </w:t>
      </w:r>
      <w:r>
        <w:rPr>
          <w:rFonts w:eastAsia="Arial"/>
          <w:sz w:val="20"/>
          <w:szCs w:val="20"/>
          <w:lang w:val="fr-CA"/>
        </w:rPr>
        <w:tab/>
        <w:t>Garantie de 5 ans sur les pièces.</w:t>
      </w:r>
    </w:p>
    <w:p>
      <w:pPr>
        <w:pStyle w:val="ARCATSubSub1"/>
        <w:numPr>
          <w:ilvl w:val="4"/>
          <w:numId w:val="145"/>
        </w:numPr>
        <w:ind w:left="2304" w:hanging="576"/>
        <w:rPr>
          <w:sz w:val="20"/>
          <w:lang w:val="fr-CA"/>
        </w:rPr>
      </w:pPr>
      <w:r>
        <w:rPr>
          <w:rFonts w:eastAsia="Arial"/>
          <w:sz w:val="20"/>
          <w:szCs w:val="20"/>
          <w:lang w:val="fr-CA"/>
        </w:rPr>
        <w:tab/>
        <w:t>1 an sur la batterie (LiftMaster de modèle 485LM).</w:t>
      </w:r>
    </w:p>
    <w:p>
      <w:pPr>
        <w:pStyle w:val="ARCATSubSub1"/>
        <w:ind w:left="2304"/>
        <w:rPr>
          <w:sz w:val="20"/>
          <w:lang w:val="fr-CA"/>
        </w:rPr>
      </w:pPr>
      <w:r>
        <w:rPr>
          <w:sz w:val="20"/>
          <w:lang w:val="fr-CA"/>
        </w:rPr>
        <w:tab/>
      </w:r>
    </w:p>
    <w:p>
      <w:pPr>
        <w:pStyle w:val="ARCATSubSub1"/>
        <w:rPr>
          <w:sz w:val="20"/>
          <w:lang w:val="fr-CA"/>
        </w:rPr>
      </w:pPr>
    </w:p>
    <w:p>
      <w:pPr>
        <w:pStyle w:val="ARCATPart"/>
      </w:pPr>
      <w:r>
        <w:rPr>
          <w:rFonts w:eastAsia="Arial"/>
          <w:szCs w:val="20"/>
          <w:lang w:val="fr-CA"/>
        </w:rPr>
        <w:t xml:space="preserve">  EXÉCUTION</w:t>
      </w:r>
    </w:p>
    <w:p>
      <w:pPr>
        <w:pStyle w:val="ARCATArticle"/>
      </w:pPr>
      <w:r>
        <w:rPr>
          <w:rFonts w:eastAsia="Arial"/>
          <w:szCs w:val="20"/>
          <w:lang w:val="fr-CA"/>
        </w:rPr>
        <w:tab/>
        <w:t>EXAMEN ET PRÉPARATION</w:t>
      </w:r>
    </w:p>
    <w:p>
      <w:pPr>
        <w:pStyle w:val="ARCATParagraph"/>
        <w:numPr>
          <w:ilvl w:val="2"/>
          <w:numId w:val="115"/>
        </w:numPr>
        <w:spacing w:before="200"/>
        <w:ind w:left="1152" w:hanging="576"/>
        <w:rPr>
          <w:sz w:val="20"/>
          <w:lang w:val="fr-CA"/>
        </w:rPr>
      </w:pPr>
      <w:r>
        <w:rPr>
          <w:rFonts w:eastAsia="Arial"/>
          <w:sz w:val="20"/>
          <w:szCs w:val="20"/>
          <w:lang w:val="fr-CA"/>
        </w:rPr>
        <w:t>Inspecter et préparer les substrats selon les méthodes recommandées par le fabricant pour atteindre les meilleurs résultats sous les conditions du projet.</w:t>
      </w:r>
    </w:p>
    <w:p>
      <w:pPr>
        <w:pStyle w:val="ARCATParagraph"/>
        <w:numPr>
          <w:ilvl w:val="2"/>
          <w:numId w:val="115"/>
        </w:numPr>
        <w:spacing w:before="200"/>
        <w:ind w:left="1152" w:hanging="576"/>
        <w:rPr>
          <w:sz w:val="20"/>
        </w:rPr>
      </w:pPr>
      <w:r>
        <w:rPr>
          <w:rFonts w:eastAsia="Arial"/>
          <w:sz w:val="20"/>
          <w:szCs w:val="20"/>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pPr>
        <w:pStyle w:val="ARCATParagraph"/>
        <w:numPr>
          <w:ilvl w:val="2"/>
          <w:numId w:val="115"/>
        </w:numPr>
        <w:spacing w:before="200"/>
        <w:ind w:left="1152" w:hanging="576"/>
        <w:rPr>
          <w:sz w:val="20"/>
          <w:lang w:val="fr-CA"/>
        </w:rPr>
      </w:pPr>
      <w:r>
        <w:rPr>
          <w:rFonts w:eastAsia="Arial"/>
          <w:sz w:val="20"/>
          <w:szCs w:val="20"/>
          <w:lang w:val="fr-CA"/>
        </w:rPr>
        <w:t>Si la préparation est la responsabilité d’un autre installateur, aviser l’architecte par écrit des écarts en ce qui concerne les tolérances et les conditions d’installation recommandées par le fabricant.</w:t>
      </w:r>
    </w:p>
    <w:p>
      <w:pPr>
        <w:pStyle w:val="ARCATArticle"/>
      </w:pPr>
      <w:r>
        <w:rPr>
          <w:rFonts w:eastAsia="Arial"/>
          <w:szCs w:val="20"/>
          <w:lang w:val="fr-CA"/>
        </w:rPr>
        <w:tab/>
        <w:t>INSTALLATION</w:t>
      </w:r>
    </w:p>
    <w:p>
      <w:pPr>
        <w:pStyle w:val="ARCATParagraph"/>
        <w:numPr>
          <w:ilvl w:val="2"/>
          <w:numId w:val="116"/>
        </w:numPr>
        <w:spacing w:before="200"/>
        <w:ind w:left="1152" w:hanging="576"/>
        <w:rPr>
          <w:sz w:val="20"/>
          <w:lang w:val="fr-CA"/>
        </w:rPr>
      </w:pPr>
      <w:r>
        <w:rPr>
          <w:rFonts w:eastAsia="Arial"/>
          <w:sz w:val="20"/>
          <w:szCs w:val="20"/>
          <w:lang w:val="fr-CA"/>
        </w:rPr>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pPr>
        <w:pStyle w:val="ARCATArticle"/>
      </w:pPr>
      <w:r>
        <w:rPr>
          <w:rFonts w:eastAsia="Arial"/>
          <w:szCs w:val="20"/>
          <w:lang w:val="fr-CA"/>
        </w:rPr>
        <w:tab/>
        <w:t>PROTECTION</w:t>
      </w:r>
    </w:p>
    <w:p>
      <w:pPr>
        <w:pStyle w:val="ARCATParagraph"/>
        <w:numPr>
          <w:ilvl w:val="2"/>
          <w:numId w:val="117"/>
        </w:numPr>
        <w:spacing w:before="200"/>
        <w:ind w:left="1152" w:hanging="576"/>
        <w:rPr>
          <w:sz w:val="20"/>
          <w:lang w:val="fr-CA"/>
        </w:rPr>
      </w:pPr>
      <w:r>
        <w:rPr>
          <w:rFonts w:eastAsia="Arial"/>
          <w:sz w:val="20"/>
          <w:szCs w:val="20"/>
          <w:lang w:val="fr-CA"/>
        </w:rPr>
        <w:t>Protéger les produits installés jusqu’à l’achèvement du projet.</w:t>
      </w:r>
    </w:p>
    <w:p>
      <w:pPr>
        <w:pStyle w:val="ARCATParagraph"/>
        <w:numPr>
          <w:ilvl w:val="2"/>
          <w:numId w:val="117"/>
        </w:numPr>
        <w:spacing w:before="200"/>
        <w:ind w:left="1152" w:hanging="576"/>
        <w:rPr>
          <w:sz w:val="20"/>
          <w:lang w:val="fr-CA"/>
        </w:rPr>
      </w:pPr>
      <w:r>
        <w:rPr>
          <w:rFonts w:eastAsia="Arial"/>
          <w:sz w:val="20"/>
          <w:szCs w:val="20"/>
          <w:lang w:val="fr-CA"/>
        </w:rPr>
        <w:t>Retoucher, réparer ou remplacer les produits endommagés avant le quasi-achèvement du projet.</w:t>
      </w:r>
    </w:p>
    <w:p>
      <w:pPr>
        <w:pStyle w:val="ARCATNormal"/>
        <w:rPr>
          <w:sz w:val="20"/>
          <w:lang w:val="fr-CA"/>
        </w:rPr>
      </w:pPr>
    </w:p>
    <w:p>
      <w:pPr>
        <w:pStyle w:val="ARCATTitle"/>
        <w:jc w:val="center"/>
        <w:outlineLvl w:val="0"/>
        <w:rPr>
          <w:sz w:val="20"/>
        </w:rPr>
      </w:pPr>
      <w:r>
        <w:rPr>
          <w:rFonts w:eastAsia="Arial"/>
          <w:sz w:val="20"/>
          <w:szCs w:val="20"/>
          <w:lang w:val="fr-CA"/>
        </w:rPr>
        <w:t>FIN DE LA SECTION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C18A5E2E">
      <w:start w:val="1"/>
      <w:numFmt w:val="lowerLetter"/>
      <w:lvlText w:val="%1."/>
      <w:lvlJc w:val="left"/>
      <w:pPr>
        <w:ind w:left="720" w:hanging="360"/>
      </w:pPr>
    </w:lvl>
    <w:lvl w:ilvl="1" w:tplc="8240654A" w:tentative="1">
      <w:start w:val="1"/>
      <w:numFmt w:val="lowerLetter"/>
      <w:lvlText w:val="%2."/>
      <w:lvlJc w:val="left"/>
      <w:pPr>
        <w:ind w:left="1440" w:hanging="360"/>
      </w:pPr>
    </w:lvl>
    <w:lvl w:ilvl="2" w:tplc="1F94CC68" w:tentative="1">
      <w:start w:val="1"/>
      <w:numFmt w:val="lowerRoman"/>
      <w:lvlText w:val="%3."/>
      <w:lvlJc w:val="right"/>
      <w:pPr>
        <w:ind w:left="2160" w:hanging="180"/>
      </w:pPr>
    </w:lvl>
    <w:lvl w:ilvl="3" w:tplc="63A8B3F6" w:tentative="1">
      <w:start w:val="1"/>
      <w:numFmt w:val="decimal"/>
      <w:lvlText w:val="%4."/>
      <w:lvlJc w:val="left"/>
      <w:pPr>
        <w:ind w:left="2880" w:hanging="360"/>
      </w:pPr>
    </w:lvl>
    <w:lvl w:ilvl="4" w:tplc="68F8699E">
      <w:start w:val="1"/>
      <w:numFmt w:val="lowerLetter"/>
      <w:lvlText w:val="%5."/>
      <w:lvlJc w:val="left"/>
      <w:pPr>
        <w:ind w:left="3600" w:hanging="360"/>
      </w:pPr>
      <w:rPr>
        <w:rFonts w:hint="default"/>
      </w:rPr>
    </w:lvl>
    <w:lvl w:ilvl="5" w:tplc="2C308FAA" w:tentative="1">
      <w:start w:val="1"/>
      <w:numFmt w:val="lowerRoman"/>
      <w:lvlText w:val="%6."/>
      <w:lvlJc w:val="right"/>
      <w:pPr>
        <w:ind w:left="4320" w:hanging="180"/>
      </w:pPr>
    </w:lvl>
    <w:lvl w:ilvl="6" w:tplc="FAF88EF4" w:tentative="1">
      <w:start w:val="1"/>
      <w:numFmt w:val="decimal"/>
      <w:lvlText w:val="%7."/>
      <w:lvlJc w:val="left"/>
      <w:pPr>
        <w:ind w:left="5040" w:hanging="360"/>
      </w:pPr>
    </w:lvl>
    <w:lvl w:ilvl="7" w:tplc="C64CE74E" w:tentative="1">
      <w:start w:val="1"/>
      <w:numFmt w:val="lowerLetter"/>
      <w:lvlText w:val="%8."/>
      <w:lvlJc w:val="left"/>
      <w:pPr>
        <w:ind w:left="5760" w:hanging="360"/>
      </w:pPr>
    </w:lvl>
    <w:lvl w:ilvl="8" w:tplc="5ABA1DA6"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DB10A550">
      <w:start w:val="1"/>
      <w:numFmt w:val="lowerLetter"/>
      <w:lvlText w:val="%1."/>
      <w:lvlJc w:val="left"/>
      <w:pPr>
        <w:ind w:left="720" w:hanging="360"/>
      </w:pPr>
    </w:lvl>
    <w:lvl w:ilvl="1" w:tplc="77DA80F0" w:tentative="1">
      <w:start w:val="1"/>
      <w:numFmt w:val="lowerLetter"/>
      <w:lvlText w:val="%2."/>
      <w:lvlJc w:val="left"/>
      <w:pPr>
        <w:ind w:left="1440" w:hanging="360"/>
      </w:pPr>
    </w:lvl>
    <w:lvl w:ilvl="2" w:tplc="E5D4748E" w:tentative="1">
      <w:start w:val="1"/>
      <w:numFmt w:val="lowerRoman"/>
      <w:lvlText w:val="%3."/>
      <w:lvlJc w:val="right"/>
      <w:pPr>
        <w:ind w:left="2160" w:hanging="180"/>
      </w:pPr>
    </w:lvl>
    <w:lvl w:ilvl="3" w:tplc="EAF66E92" w:tentative="1">
      <w:start w:val="1"/>
      <w:numFmt w:val="decimal"/>
      <w:lvlText w:val="%4."/>
      <w:lvlJc w:val="left"/>
      <w:pPr>
        <w:ind w:left="2880" w:hanging="360"/>
      </w:pPr>
    </w:lvl>
    <w:lvl w:ilvl="4" w:tplc="59BABA60">
      <w:start w:val="2"/>
      <w:numFmt w:val="lowerLetter"/>
      <w:lvlText w:val="%5."/>
      <w:lvlJc w:val="left"/>
      <w:pPr>
        <w:ind w:left="3600" w:hanging="360"/>
      </w:pPr>
      <w:rPr>
        <w:rFonts w:hint="default"/>
      </w:rPr>
    </w:lvl>
    <w:lvl w:ilvl="5" w:tplc="6F14DCE0" w:tentative="1">
      <w:start w:val="1"/>
      <w:numFmt w:val="lowerRoman"/>
      <w:lvlText w:val="%6."/>
      <w:lvlJc w:val="right"/>
      <w:pPr>
        <w:ind w:left="4320" w:hanging="180"/>
      </w:pPr>
    </w:lvl>
    <w:lvl w:ilvl="6" w:tplc="FD2AC964" w:tentative="1">
      <w:start w:val="1"/>
      <w:numFmt w:val="decimal"/>
      <w:lvlText w:val="%7."/>
      <w:lvlJc w:val="left"/>
      <w:pPr>
        <w:ind w:left="5040" w:hanging="360"/>
      </w:pPr>
    </w:lvl>
    <w:lvl w:ilvl="7" w:tplc="A1DE54B4" w:tentative="1">
      <w:start w:val="1"/>
      <w:numFmt w:val="lowerLetter"/>
      <w:lvlText w:val="%8."/>
      <w:lvlJc w:val="left"/>
      <w:pPr>
        <w:ind w:left="5760" w:hanging="360"/>
      </w:pPr>
    </w:lvl>
    <w:lvl w:ilvl="8" w:tplc="04EEA250"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99F27168">
      <w:start w:val="2"/>
      <w:numFmt w:val="lowerLetter"/>
      <w:lvlText w:val="%1."/>
      <w:lvlJc w:val="left"/>
      <w:pPr>
        <w:ind w:left="5040" w:hanging="360"/>
      </w:pPr>
      <w:rPr>
        <w:rFonts w:hint="default"/>
      </w:rPr>
    </w:lvl>
    <w:lvl w:ilvl="1" w:tplc="1AC42980" w:tentative="1">
      <w:start w:val="1"/>
      <w:numFmt w:val="lowerLetter"/>
      <w:lvlText w:val="%2."/>
      <w:lvlJc w:val="left"/>
      <w:pPr>
        <w:ind w:left="1440" w:hanging="360"/>
      </w:pPr>
    </w:lvl>
    <w:lvl w:ilvl="2" w:tplc="7B7831FA" w:tentative="1">
      <w:start w:val="1"/>
      <w:numFmt w:val="lowerRoman"/>
      <w:lvlText w:val="%3."/>
      <w:lvlJc w:val="right"/>
      <w:pPr>
        <w:ind w:left="2160" w:hanging="180"/>
      </w:pPr>
    </w:lvl>
    <w:lvl w:ilvl="3" w:tplc="AA58895C" w:tentative="1">
      <w:start w:val="1"/>
      <w:numFmt w:val="decimal"/>
      <w:lvlText w:val="%4."/>
      <w:lvlJc w:val="left"/>
      <w:pPr>
        <w:ind w:left="2880" w:hanging="360"/>
      </w:pPr>
    </w:lvl>
    <w:lvl w:ilvl="4" w:tplc="2A94B8D8" w:tentative="1">
      <w:start w:val="1"/>
      <w:numFmt w:val="lowerLetter"/>
      <w:lvlText w:val="%5."/>
      <w:lvlJc w:val="left"/>
      <w:pPr>
        <w:ind w:left="3600" w:hanging="360"/>
      </w:pPr>
    </w:lvl>
    <w:lvl w:ilvl="5" w:tplc="B0647A3A" w:tentative="1">
      <w:start w:val="1"/>
      <w:numFmt w:val="lowerRoman"/>
      <w:lvlText w:val="%6."/>
      <w:lvlJc w:val="right"/>
      <w:pPr>
        <w:ind w:left="4320" w:hanging="180"/>
      </w:pPr>
    </w:lvl>
    <w:lvl w:ilvl="6" w:tplc="A46063E4" w:tentative="1">
      <w:start w:val="1"/>
      <w:numFmt w:val="decimal"/>
      <w:lvlText w:val="%7."/>
      <w:lvlJc w:val="left"/>
      <w:pPr>
        <w:ind w:left="5040" w:hanging="360"/>
      </w:pPr>
    </w:lvl>
    <w:lvl w:ilvl="7" w:tplc="AFBEBE1E" w:tentative="1">
      <w:start w:val="1"/>
      <w:numFmt w:val="lowerLetter"/>
      <w:lvlText w:val="%8."/>
      <w:lvlJc w:val="left"/>
      <w:pPr>
        <w:ind w:left="5760" w:hanging="360"/>
      </w:pPr>
    </w:lvl>
    <w:lvl w:ilvl="8" w:tplc="1BC01106"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BB5C57F6">
      <w:start w:val="1"/>
      <w:numFmt w:val="lowerLetter"/>
      <w:lvlText w:val="%1."/>
      <w:lvlJc w:val="left"/>
      <w:pPr>
        <w:ind w:left="2100" w:hanging="360"/>
      </w:pPr>
    </w:lvl>
    <w:lvl w:ilvl="1" w:tplc="0796415E" w:tentative="1">
      <w:start w:val="1"/>
      <w:numFmt w:val="lowerLetter"/>
      <w:lvlText w:val="%2."/>
      <w:lvlJc w:val="left"/>
      <w:pPr>
        <w:ind w:left="2820" w:hanging="360"/>
      </w:pPr>
    </w:lvl>
    <w:lvl w:ilvl="2" w:tplc="43BA84FC" w:tentative="1">
      <w:start w:val="1"/>
      <w:numFmt w:val="lowerRoman"/>
      <w:lvlText w:val="%3."/>
      <w:lvlJc w:val="right"/>
      <w:pPr>
        <w:ind w:left="3540" w:hanging="180"/>
      </w:pPr>
    </w:lvl>
    <w:lvl w:ilvl="3" w:tplc="48DE03AC" w:tentative="1">
      <w:start w:val="1"/>
      <w:numFmt w:val="decimal"/>
      <w:lvlText w:val="%4."/>
      <w:lvlJc w:val="left"/>
      <w:pPr>
        <w:ind w:left="4260" w:hanging="360"/>
      </w:pPr>
    </w:lvl>
    <w:lvl w:ilvl="4" w:tplc="2D604532" w:tentative="1">
      <w:start w:val="1"/>
      <w:numFmt w:val="lowerLetter"/>
      <w:lvlText w:val="%5."/>
      <w:lvlJc w:val="left"/>
      <w:pPr>
        <w:ind w:left="4980" w:hanging="360"/>
      </w:pPr>
    </w:lvl>
    <w:lvl w:ilvl="5" w:tplc="F3B06B70" w:tentative="1">
      <w:start w:val="1"/>
      <w:numFmt w:val="lowerRoman"/>
      <w:lvlText w:val="%6."/>
      <w:lvlJc w:val="right"/>
      <w:pPr>
        <w:ind w:left="5700" w:hanging="180"/>
      </w:pPr>
    </w:lvl>
    <w:lvl w:ilvl="6" w:tplc="4128211A" w:tentative="1">
      <w:start w:val="1"/>
      <w:numFmt w:val="decimal"/>
      <w:lvlText w:val="%7."/>
      <w:lvlJc w:val="left"/>
      <w:pPr>
        <w:ind w:left="6420" w:hanging="360"/>
      </w:pPr>
    </w:lvl>
    <w:lvl w:ilvl="7" w:tplc="3686FB1E" w:tentative="1">
      <w:start w:val="1"/>
      <w:numFmt w:val="lowerLetter"/>
      <w:lvlText w:val="%8."/>
      <w:lvlJc w:val="left"/>
      <w:pPr>
        <w:ind w:left="7140" w:hanging="360"/>
      </w:pPr>
    </w:lvl>
    <w:lvl w:ilvl="8" w:tplc="6E923066"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3822D2C4">
      <w:start w:val="1"/>
      <w:numFmt w:val="lowerLetter"/>
      <w:lvlText w:val="%1."/>
      <w:lvlJc w:val="left"/>
      <w:pPr>
        <w:ind w:left="720" w:hanging="360"/>
      </w:pPr>
    </w:lvl>
    <w:lvl w:ilvl="1" w:tplc="61A0C084" w:tentative="1">
      <w:start w:val="1"/>
      <w:numFmt w:val="lowerLetter"/>
      <w:lvlText w:val="%2."/>
      <w:lvlJc w:val="left"/>
      <w:pPr>
        <w:ind w:left="1440" w:hanging="360"/>
      </w:pPr>
    </w:lvl>
    <w:lvl w:ilvl="2" w:tplc="20BC2D20" w:tentative="1">
      <w:start w:val="1"/>
      <w:numFmt w:val="lowerRoman"/>
      <w:lvlText w:val="%3."/>
      <w:lvlJc w:val="right"/>
      <w:pPr>
        <w:ind w:left="2160" w:hanging="180"/>
      </w:pPr>
    </w:lvl>
    <w:lvl w:ilvl="3" w:tplc="6C5C61B6" w:tentative="1">
      <w:start w:val="1"/>
      <w:numFmt w:val="decimal"/>
      <w:lvlText w:val="%4."/>
      <w:lvlJc w:val="left"/>
      <w:pPr>
        <w:ind w:left="2880" w:hanging="360"/>
      </w:pPr>
    </w:lvl>
    <w:lvl w:ilvl="4" w:tplc="E3F84932">
      <w:start w:val="1"/>
      <w:numFmt w:val="lowerLetter"/>
      <w:lvlText w:val="%5."/>
      <w:lvlJc w:val="left"/>
      <w:pPr>
        <w:ind w:left="3600" w:hanging="360"/>
      </w:pPr>
    </w:lvl>
    <w:lvl w:ilvl="5" w:tplc="61B03168" w:tentative="1">
      <w:start w:val="1"/>
      <w:numFmt w:val="lowerRoman"/>
      <w:lvlText w:val="%6."/>
      <w:lvlJc w:val="right"/>
      <w:pPr>
        <w:ind w:left="4320" w:hanging="180"/>
      </w:pPr>
    </w:lvl>
    <w:lvl w:ilvl="6" w:tplc="E10291C0">
      <w:start w:val="1"/>
      <w:numFmt w:val="lowerLetter"/>
      <w:lvlText w:val="%7."/>
      <w:lvlJc w:val="left"/>
      <w:pPr>
        <w:ind w:left="5040" w:hanging="360"/>
      </w:pPr>
    </w:lvl>
    <w:lvl w:ilvl="7" w:tplc="EC72754A" w:tentative="1">
      <w:start w:val="1"/>
      <w:numFmt w:val="lowerLetter"/>
      <w:lvlText w:val="%8."/>
      <w:lvlJc w:val="left"/>
      <w:pPr>
        <w:ind w:left="5760" w:hanging="360"/>
      </w:pPr>
    </w:lvl>
    <w:lvl w:ilvl="8" w:tplc="0DCE0E92"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95A6-ED58-4F56-BE51-117F71F6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20</cp:revision>
  <cp:lastPrinted>2014-03-10T20:44:00Z</cp:lastPrinted>
  <dcterms:created xsi:type="dcterms:W3CDTF">2021-12-16T18:00:00Z</dcterms:created>
  <dcterms:modified xsi:type="dcterms:W3CDTF">2022-02-01T20:39:00Z</dcterms:modified>
</cp:coreProperties>
</file>