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7B89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1B757B8A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1B757B8B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F87F12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1B757B8C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1B757B8D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1B757B8E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1B757B8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1B757B9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1B757B9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1B757B92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1B757B93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1B757B9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1B757B95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1B757B96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1B757B97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1B757B98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1B757B99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1B757B9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1B757B9B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1B757C4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deslizantes:</w:t>
      </w:r>
    </w:p>
    <w:p w14:paraId="1B757C4E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CSL24UL. </w:t>
      </w:r>
    </w:p>
    <w:p w14:paraId="1B757C4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Operación: Impulsado por engranes.</w:t>
      </w:r>
    </w:p>
    <w:p w14:paraId="1B757C5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1B757C51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1B757C52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Velocidad de desplazamiento: 30 cm por segundo.</w:t>
      </w:r>
    </w:p>
    <w:p w14:paraId="1B757C53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Batería de respaldo: </w:t>
      </w:r>
      <w:r>
        <w:rPr>
          <w:rFonts w:eastAsia="Arial"/>
          <w:color w:val="FF0000"/>
          <w:lang w:val="es-MX"/>
        </w:rPr>
        <w:t>[7 Ah]. [33 Ah].</w:t>
      </w:r>
    </w:p>
    <w:p w14:paraId="1B757C54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1B757C5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1B757C56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radio: Tecnología Security+ 2.0.</w:t>
      </w:r>
    </w:p>
    <w:p w14:paraId="1B757C57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1B757C5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1B757C59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1B757C5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F87F12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reflectantes]. [Sensores fotoeléctricos de haz]. [Borde inalámbrico con transmisor y receptor]. [Transceptor de borde inalámbrico].</w:t>
      </w:r>
    </w:p>
    <w:p w14:paraId="1B757C5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cableados monitoreados: </w:t>
      </w:r>
      <w:r>
        <w:rPr>
          <w:rFonts w:eastAsia="Arial"/>
          <w:color w:val="FF0000"/>
          <w:lang w:val="es-MX"/>
        </w:rPr>
        <w:t>[Borde de perfil bajo monitoreado]. [</w:t>
      </w:r>
      <w:r>
        <w:rPr>
          <w:rFonts w:eastAsia="Arial" w:cs="Arial"/>
          <w:color w:val="FF0000"/>
          <w:lang w:val="es-MX"/>
        </w:rPr>
        <w:t>Borde de perfil alto monitoreado].</w:t>
      </w:r>
    </w:p>
    <w:p w14:paraId="1B757C5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1B757C5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1B757C5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1B757C5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 xml:space="preserve">[CAPXLV] [CAPXM] </w:t>
      </w:r>
      <w:r>
        <w:rPr>
          <w:rFonts w:eastAsia="Arial"/>
          <w:lang w:val="es-MX"/>
        </w:rPr>
        <w:t>Intercomunicador de video inteligente.</w:t>
      </w:r>
    </w:p>
    <w:p w14:paraId="1B757C60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>Receptor de control de acceso comercial.</w:t>
      </w:r>
    </w:p>
    <w:p w14:paraId="1B757C6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1B757C62" w14:textId="77777777" w:rsidR="005941F2" w:rsidRDefault="005941F2"/>
    <w:p w14:paraId="1B757CEB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1B757CEC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1B757CE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1B757CEE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1B757CEF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1B757CF0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1B757CF1" w14:textId="77777777" w:rsidR="005941F2" w:rsidRDefault="005941F2">
      <w:pPr>
        <w:rPr>
          <w:rFonts w:cs="Arial"/>
        </w:rPr>
      </w:pPr>
    </w:p>
    <w:p w14:paraId="1B757CF2" w14:textId="77777777" w:rsidR="005941F2" w:rsidRDefault="005941F2">
      <w:pPr>
        <w:rPr>
          <w:rFonts w:cs="Arial"/>
        </w:rPr>
      </w:pPr>
    </w:p>
    <w:p w14:paraId="1B757CF3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1B757CF4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1B757CF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1B757CF6" w14:textId="77777777" w:rsidR="004331FC" w:rsidRDefault="004331FC" w:rsidP="004331FC">
      <w:pPr>
        <w:pStyle w:val="CommentText"/>
      </w:pPr>
    </w:p>
    <w:p w14:paraId="1B757CF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1B757CF8" w14:textId="77777777" w:rsidR="004331FC" w:rsidRDefault="004331FC" w:rsidP="004331FC">
      <w:pPr>
        <w:pStyle w:val="CommentText"/>
      </w:pPr>
    </w:p>
    <w:p w14:paraId="1B757CF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1B757CFA" w14:textId="77777777" w:rsidR="004331FC" w:rsidRDefault="004331FC" w:rsidP="004331FC">
      <w:pPr>
        <w:pStyle w:val="CommentText"/>
      </w:pPr>
    </w:p>
    <w:p w14:paraId="1B757CF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1B757CFC" w14:textId="77777777" w:rsidR="004331FC" w:rsidRDefault="004331FC" w:rsidP="004331FC">
      <w:pPr>
        <w:pStyle w:val="CommentText"/>
      </w:pPr>
    </w:p>
    <w:p w14:paraId="1B757CF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1B757CFE" w14:textId="77777777" w:rsidR="004331FC" w:rsidRDefault="004331FC" w:rsidP="004331FC">
      <w:pPr>
        <w:pStyle w:val="CommentText"/>
      </w:pPr>
    </w:p>
    <w:p w14:paraId="1B757CF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1B757D00" w14:textId="77777777" w:rsidR="004331FC" w:rsidRDefault="004331FC" w:rsidP="004331FC">
      <w:pPr>
        <w:pStyle w:val="CommentText"/>
      </w:pPr>
    </w:p>
    <w:p w14:paraId="1B757D01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1B757D02" w14:textId="77777777" w:rsidR="004331FC" w:rsidRDefault="004331FC" w:rsidP="004331FC">
      <w:pPr>
        <w:pStyle w:val="CommentText"/>
      </w:pPr>
    </w:p>
    <w:p w14:paraId="1B757D0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1B757D04" w14:textId="77777777" w:rsidR="004331FC" w:rsidRDefault="004331FC" w:rsidP="004331FC">
      <w:pPr>
        <w:pStyle w:val="CommentText"/>
      </w:pPr>
    </w:p>
    <w:p w14:paraId="1B757D0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1B757D06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1B757D07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1B757D08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757D07" w15:done="0"/>
  <w15:commentEx w15:paraId="1B757D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57D07" w16cid:durableId="263725A5"/>
  <w16cid:commentId w16cid:paraId="1B757D08" w16cid:durableId="26372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7D5E" w14:textId="77777777" w:rsidR="00F87F12" w:rsidRDefault="00F87F12">
      <w:r>
        <w:separator/>
      </w:r>
    </w:p>
  </w:endnote>
  <w:endnote w:type="continuationSeparator" w:id="0">
    <w:p w14:paraId="1305259E" w14:textId="77777777" w:rsidR="00F87F12" w:rsidRDefault="00F8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7D11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B757D12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7D13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1B757D14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1B757D15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6FB2" w14:textId="77777777" w:rsidR="00F87F12" w:rsidRDefault="00F87F12">
      <w:r>
        <w:separator/>
      </w:r>
    </w:p>
  </w:footnote>
  <w:footnote w:type="continuationSeparator" w:id="0">
    <w:p w14:paraId="2AD92806" w14:textId="77777777" w:rsidR="00F87F12" w:rsidRDefault="00F8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7D0D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B757D0E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7D0F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B757D10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4331FC"/>
    <w:rsid w:val="005941F2"/>
    <w:rsid w:val="006B478C"/>
    <w:rsid w:val="00B00AFE"/>
    <w:rsid w:val="00B2504F"/>
    <w:rsid w:val="00F44D67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57B89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2022-05-24T14:37:00Z</dcterms:created>
  <dcterms:modified xsi:type="dcterms:W3CDTF">2022-05-24T14:37:00Z</dcterms:modified>
</cp:coreProperties>
</file>