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D269C" w14:textId="77777777" w:rsidR="00021DED" w:rsidRDefault="00AC7B39">
      <w:pPr>
        <w:widowControl/>
        <w:tabs>
          <w:tab w:val="right" w:pos="10080"/>
        </w:tabs>
        <w:rPr>
          <w:rFonts w:cs="Arial"/>
          <w:bCs/>
          <w:color w:val="0070C0"/>
        </w:rPr>
      </w:pPr>
      <w:bookmarkStart w:id="0" w:name="_Hlk61515577"/>
      <w:r>
        <w:rPr>
          <w:rFonts w:eastAsia="Arial" w:cs="Arial"/>
          <w:bCs/>
          <w:color w:val="0070C0"/>
          <w:lang w:val="fr-CA"/>
        </w:rPr>
        <w:t>LiftMaster</w:t>
      </w:r>
      <w:r>
        <w:rPr>
          <w:rFonts w:eastAsia="Arial" w:cs="Arial"/>
          <w:bCs/>
          <w:color w:val="0070C0"/>
          <w:lang w:val="fr-CA"/>
        </w:rPr>
        <w:tab/>
        <w:t>distribué par ZeroDocs.com</w:t>
      </w:r>
    </w:p>
    <w:bookmarkEnd w:id="0"/>
    <w:p w14:paraId="21AD269D" w14:textId="77777777" w:rsidR="00021DED" w:rsidRDefault="00021DE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commentRangeStart w:id="1"/>
    <w:p w14:paraId="21AD269E" w14:textId="77777777" w:rsidR="00021DED" w:rsidRDefault="00AC7B39">
      <w:pPr>
        <w:rPr>
          <w:rFonts w:cs="Arial"/>
          <w:b/>
          <w:bCs/>
        </w:rPr>
      </w:pPr>
      <w:r>
        <w:rPr>
          <w:rFonts w:cs="Arial"/>
          <w:b/>
          <w:bCs/>
        </w:rPr>
        <w:fldChar w:fldCharType="begin"/>
      </w:r>
      <w:r>
        <w:rPr>
          <w:rFonts w:cs="Arial"/>
          <w:b/>
          <w:bCs/>
        </w:rPr>
        <w:instrText xml:space="preserve"> SEQ CHAPTER \h \r 1</w:instrText>
      </w:r>
      <w:r w:rsidR="00151ECE">
        <w:rPr>
          <w:rFonts w:cs="Arial"/>
          <w:b/>
          <w:bCs/>
        </w:rPr>
        <w:fldChar w:fldCharType="separate"/>
      </w:r>
      <w:r>
        <w:rPr>
          <w:rFonts w:cs="Arial"/>
          <w:b/>
          <w:bCs/>
        </w:rPr>
        <w:fldChar w:fldCharType="end"/>
      </w:r>
      <w:r>
        <w:rPr>
          <w:rFonts w:eastAsia="Arial" w:cs="Arial"/>
          <w:b/>
          <w:bCs/>
          <w:lang w:val="fr-CA"/>
        </w:rPr>
        <w:t>SECTION 11 12 33 – BARRIÈRES DE STATIONNEMENT</w:t>
      </w:r>
      <w:commentRangeEnd w:id="1"/>
      <w:r>
        <w:rPr>
          <w:rStyle w:val="CommentReference"/>
        </w:rPr>
        <w:commentReference w:id="1"/>
      </w:r>
    </w:p>
    <w:p w14:paraId="21AD269F" w14:textId="77777777" w:rsidR="00021DED" w:rsidRDefault="00AC7B39">
      <w:pPr>
        <w:pStyle w:val="Level1"/>
      </w:pPr>
      <w:r>
        <w:rPr>
          <w:rFonts w:eastAsia="Arial"/>
          <w:bCs/>
          <w:lang w:val="fr-CA"/>
        </w:rPr>
        <w:tab/>
        <w:t>GÉNÉRALITÉS</w:t>
      </w:r>
    </w:p>
    <w:p w14:paraId="21AD26A0" w14:textId="77777777" w:rsidR="00021DED" w:rsidRDefault="00AC7B39">
      <w:pPr>
        <w:pStyle w:val="Level2"/>
      </w:pPr>
      <w:r>
        <w:rPr>
          <w:rFonts w:eastAsia="Arial"/>
          <w:lang w:val="fr-CA"/>
        </w:rPr>
        <w:tab/>
        <w:t>SOUMISSIONS</w:t>
      </w:r>
    </w:p>
    <w:p w14:paraId="21AD26A1" w14:textId="77777777" w:rsidR="00021DED" w:rsidRDefault="00AC7B39">
      <w:pPr>
        <w:pStyle w:val="Level3"/>
      </w:pPr>
      <w:r>
        <w:rPr>
          <w:rFonts w:eastAsia="Arial"/>
          <w:lang w:val="fr-CA"/>
        </w:rPr>
        <w:tab/>
        <w:t>Soumissions d’action :</w:t>
      </w:r>
    </w:p>
    <w:p w14:paraId="21AD26A2" w14:textId="77777777" w:rsidR="00021DED" w:rsidRDefault="00AC7B39">
      <w:pPr>
        <w:pStyle w:val="Level4"/>
      </w:pPr>
      <w:r>
        <w:rPr>
          <w:rFonts w:eastAsia="Arial"/>
          <w:lang w:val="fr-CA"/>
        </w:rPr>
        <w:tab/>
        <w:t>Données sur le produit : Données descriptives du fabricant et attributs du produit.</w:t>
      </w:r>
    </w:p>
    <w:p w14:paraId="21AD26A3" w14:textId="77777777" w:rsidR="00021DED" w:rsidRDefault="00AC7B39">
      <w:pPr>
        <w:pStyle w:val="Level3"/>
      </w:pPr>
      <w:r>
        <w:rPr>
          <w:rFonts w:eastAsia="Arial"/>
          <w:lang w:val="fr-CA"/>
        </w:rPr>
        <w:tab/>
        <w:t>Soumissions de clôture :</w:t>
      </w:r>
    </w:p>
    <w:p w14:paraId="21AD26A4" w14:textId="77777777" w:rsidR="00021DED" w:rsidRDefault="00AC7B39">
      <w:pPr>
        <w:pStyle w:val="Level4"/>
      </w:pPr>
      <w:r>
        <w:rPr>
          <w:rFonts w:eastAsia="Arial"/>
          <w:lang w:val="fr-CA"/>
        </w:rPr>
        <w:tab/>
        <w:t>Données de fonctionnement et d’entretien.</w:t>
      </w:r>
      <w:bookmarkStart w:id="2" w:name="_Hlk37778670"/>
    </w:p>
    <w:p w14:paraId="21AD26A5" w14:textId="77777777" w:rsidR="00021DED" w:rsidRDefault="00AC7B39">
      <w:pPr>
        <w:pStyle w:val="Level2"/>
      </w:pPr>
      <w:r>
        <w:rPr>
          <w:rFonts w:eastAsia="Arial"/>
          <w:lang w:val="fr-CA"/>
        </w:rPr>
        <w:tab/>
        <w:t>ASSURANCE DE LA QUALITÉ</w:t>
      </w:r>
    </w:p>
    <w:p w14:paraId="21AD26A6" w14:textId="77777777" w:rsidR="00021DED" w:rsidRDefault="00AC7B39">
      <w:pPr>
        <w:pStyle w:val="Level3"/>
      </w:pPr>
      <w:r>
        <w:rPr>
          <w:rFonts w:eastAsia="Arial"/>
          <w:lang w:val="fr-CA"/>
        </w:rPr>
        <w:tab/>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bookmarkEnd w:id="2"/>
    </w:p>
    <w:p w14:paraId="21AD26A7" w14:textId="77777777" w:rsidR="00021DED" w:rsidRDefault="00AC7B39">
      <w:pPr>
        <w:pStyle w:val="Level2"/>
      </w:pPr>
      <w:r>
        <w:rPr>
          <w:rFonts w:eastAsia="Arial"/>
          <w:lang w:val="fr-CA"/>
        </w:rPr>
        <w:tab/>
        <w:t>GARANTIE</w:t>
      </w:r>
    </w:p>
    <w:p w14:paraId="21AD26A8" w14:textId="77777777" w:rsidR="00021DED" w:rsidRDefault="00AC7B39">
      <w:pPr>
        <w:pStyle w:val="Level3"/>
      </w:pPr>
      <w:r>
        <w:rPr>
          <w:rFonts w:eastAsia="Arial"/>
          <w:lang w:val="fr-CA"/>
        </w:rPr>
        <w:tab/>
        <w:t>Garanties du fabricant contre tout défaut matériel ou de fabrication.</w:t>
      </w:r>
    </w:p>
    <w:p w14:paraId="21AD26A9" w14:textId="77777777" w:rsidR="00021DED" w:rsidRDefault="00AC7B39">
      <w:pPr>
        <w:pStyle w:val="SpecPara4"/>
      </w:pPr>
      <w:r>
        <w:rPr>
          <w:rFonts w:eastAsia="Arial"/>
          <w:lang w:val="fr-CA"/>
        </w:rPr>
        <w:t xml:space="preserve"> </w:t>
      </w:r>
      <w:r>
        <w:rPr>
          <w:rFonts w:eastAsia="Arial"/>
          <w:lang w:val="fr-CA"/>
        </w:rPr>
        <w:tab/>
        <w:t>Armoire : 10 ans.</w:t>
      </w:r>
    </w:p>
    <w:p w14:paraId="21AD26AA" w14:textId="77777777" w:rsidR="00021DED" w:rsidRDefault="00AC7B39">
      <w:pPr>
        <w:pStyle w:val="SpecPara4"/>
      </w:pPr>
      <w:r>
        <w:rPr>
          <w:rFonts w:eastAsia="Arial"/>
          <w:lang w:val="fr-CA"/>
        </w:rPr>
        <w:t xml:space="preserve"> </w:t>
      </w:r>
      <w:r>
        <w:rPr>
          <w:rFonts w:eastAsia="Arial"/>
          <w:lang w:val="fr-CA"/>
        </w:rPr>
        <w:tab/>
        <w:t>Composants électriques et mécaniques : 2 ans.</w:t>
      </w:r>
    </w:p>
    <w:p w14:paraId="21AD26AB" w14:textId="77777777" w:rsidR="00021DED" w:rsidRDefault="00AC7B39">
      <w:pPr>
        <w:pStyle w:val="Level1"/>
      </w:pPr>
      <w:r>
        <w:rPr>
          <w:rFonts w:eastAsia="Arial"/>
          <w:bCs/>
          <w:lang w:val="fr-CA"/>
        </w:rPr>
        <w:tab/>
        <w:t>PRODUITS</w:t>
      </w:r>
    </w:p>
    <w:p w14:paraId="21AD26AC" w14:textId="77777777" w:rsidR="00021DED" w:rsidRDefault="00AC7B39">
      <w:pPr>
        <w:pStyle w:val="Level2"/>
      </w:pPr>
      <w:r>
        <w:rPr>
          <w:rFonts w:eastAsia="Arial"/>
          <w:lang w:val="fr-CA"/>
        </w:rPr>
        <w:tab/>
        <w:t>FABRICANTS</w:t>
      </w:r>
    </w:p>
    <w:p w14:paraId="21AD26AD" w14:textId="77777777" w:rsidR="00021DED" w:rsidRDefault="00AC7B39">
      <w:pPr>
        <w:pStyle w:val="Level3"/>
      </w:pPr>
      <w:r>
        <w:rPr>
          <w:rFonts w:eastAsia="Arial"/>
          <w:lang w:val="fr-CA"/>
        </w:rPr>
        <w:tab/>
      </w:r>
      <w:r>
        <w:rPr>
          <w:rFonts w:eastAsia="Arial"/>
          <w:color w:val="000000"/>
          <w:lang w:val="fr-CA"/>
        </w:rPr>
        <w:t xml:space="preserve">Les documents contractuels sont basés sur les produits de LiftMaster. </w:t>
      </w:r>
      <w:hyperlink r:id="rId10" w:history="1">
        <w:r>
          <w:rPr>
            <w:rFonts w:eastAsia="Arial"/>
            <w:color w:val="0000FF"/>
            <w:u w:val="single"/>
            <w:lang w:val="fr-CA"/>
          </w:rPr>
          <w:t>www.LiftMaster.com</w:t>
        </w:r>
      </w:hyperlink>
      <w:r>
        <w:rPr>
          <w:rFonts w:eastAsia="Arial"/>
          <w:color w:val="000000"/>
          <w:lang w:val="fr-CA"/>
        </w:rPr>
        <w:t xml:space="preserve"> </w:t>
      </w:r>
    </w:p>
    <w:p w14:paraId="21AD26AE" w14:textId="77777777" w:rsidR="00021DED" w:rsidRDefault="00AC7B39">
      <w:pPr>
        <w:pStyle w:val="Level3"/>
      </w:pPr>
      <w:r>
        <w:rPr>
          <w:rFonts w:eastAsia="Arial"/>
          <w:lang w:val="fr-CA"/>
        </w:rPr>
        <w:tab/>
        <w:t xml:space="preserve">Substitutions : </w:t>
      </w:r>
      <w:r>
        <w:rPr>
          <w:rFonts w:eastAsia="Arial"/>
          <w:color w:val="FF0000"/>
          <w:lang w:val="fr-CA"/>
        </w:rPr>
        <w:t>[Consultez la Division 01.] [Non autorisé.]</w:t>
      </w:r>
    </w:p>
    <w:p w14:paraId="21AD26AF" w14:textId="77777777" w:rsidR="00021DED" w:rsidRDefault="00AC7B39">
      <w:pPr>
        <w:pStyle w:val="Level2"/>
      </w:pPr>
      <w:r>
        <w:rPr>
          <w:rFonts w:eastAsia="Arial"/>
          <w:lang w:val="fr-CA"/>
        </w:rPr>
        <w:tab/>
        <w:t>UNITÉS FABRIQUÉES</w:t>
      </w:r>
    </w:p>
    <w:p w14:paraId="21AD26FF" w14:textId="77777777" w:rsidR="00021DED" w:rsidRDefault="00AC7B39">
      <w:pPr>
        <w:pStyle w:val="Level3"/>
      </w:pPr>
      <w:r>
        <w:rPr>
          <w:rFonts w:eastAsia="Arial"/>
          <w:lang w:val="fr-CA"/>
        </w:rPr>
        <w:tab/>
        <w:t>Barrières de stationnement :</w:t>
      </w:r>
    </w:p>
    <w:p w14:paraId="21AD2700" w14:textId="77777777" w:rsidR="00021DED" w:rsidRDefault="00AC7B39">
      <w:pPr>
        <w:pStyle w:val="Level4"/>
      </w:pPr>
      <w:r>
        <w:rPr>
          <w:rFonts w:eastAsia="Arial"/>
          <w:lang w:val="fr-CA"/>
        </w:rPr>
        <w:tab/>
        <w:t>Modèle : MAST.</w:t>
      </w:r>
    </w:p>
    <w:p w14:paraId="21AD2701" w14:textId="77777777" w:rsidR="00021DED" w:rsidRDefault="00AC7B39">
      <w:pPr>
        <w:pStyle w:val="Level4"/>
      </w:pPr>
      <w:r>
        <w:rPr>
          <w:rFonts w:eastAsia="Arial"/>
          <w:lang w:val="fr-CA"/>
        </w:rPr>
        <w:t xml:space="preserve"> </w:t>
      </w:r>
      <w:r>
        <w:rPr>
          <w:rFonts w:eastAsia="Arial"/>
          <w:lang w:val="fr-CA"/>
        </w:rPr>
        <w:tab/>
        <w:t>Fonctionnement : Réducteur d’engrenage.</w:t>
      </w:r>
    </w:p>
    <w:p w14:paraId="21AD2702" w14:textId="77777777" w:rsidR="00021DED" w:rsidRDefault="00AC7B39">
      <w:pPr>
        <w:pStyle w:val="Level4"/>
      </w:pPr>
      <w:r>
        <w:rPr>
          <w:rFonts w:eastAsia="Arial"/>
          <w:lang w:val="fr-CA"/>
        </w:rPr>
        <w:t xml:space="preserve"> </w:t>
      </w:r>
      <w:r>
        <w:rPr>
          <w:rFonts w:eastAsia="Arial"/>
          <w:lang w:val="fr-CA"/>
        </w:rPr>
        <w:tab/>
        <w:t>Conforme à la norme UL 325.</w:t>
      </w:r>
    </w:p>
    <w:p w14:paraId="21AD2703" w14:textId="77777777" w:rsidR="00021DED" w:rsidRDefault="00AC7B39">
      <w:pPr>
        <w:pStyle w:val="Level4"/>
        <w:rPr>
          <w:rFonts w:cs="Arial"/>
        </w:rPr>
      </w:pPr>
      <w:r>
        <w:rPr>
          <w:rFonts w:eastAsia="Arial"/>
          <w:lang w:val="fr-CA"/>
        </w:rPr>
        <w:tab/>
        <w:t>Cycle de service homologué : Maximum 10 000 par jour.</w:t>
      </w:r>
    </w:p>
    <w:p w14:paraId="21AD2704" w14:textId="77777777" w:rsidR="00021DED" w:rsidRDefault="00AC7B39">
      <w:pPr>
        <w:pStyle w:val="Level4"/>
        <w:rPr>
          <w:rFonts w:cs="Arial"/>
        </w:rPr>
      </w:pPr>
      <w:r>
        <w:rPr>
          <w:rFonts w:eastAsia="Arial" w:cs="Arial"/>
          <w:lang w:val="fr-CA"/>
        </w:rPr>
        <w:t xml:space="preserve"> </w:t>
      </w:r>
      <w:r>
        <w:rPr>
          <w:rFonts w:eastAsia="Arial" w:cs="Arial"/>
          <w:lang w:val="fr-CA"/>
        </w:rPr>
        <w:tab/>
        <w:t xml:space="preserve">Vitesse d’ouverture : 0,9 secondes. </w:t>
      </w:r>
    </w:p>
    <w:p w14:paraId="21AD2705" w14:textId="77777777" w:rsidR="00021DED" w:rsidRDefault="00AC7B39">
      <w:pPr>
        <w:pStyle w:val="Level4"/>
        <w:rPr>
          <w:rFonts w:cs="Arial"/>
        </w:rPr>
      </w:pPr>
      <w:r>
        <w:rPr>
          <w:rFonts w:eastAsia="Arial" w:cs="Arial"/>
          <w:lang w:val="fr-CA"/>
        </w:rPr>
        <w:t xml:space="preserve"> </w:t>
      </w:r>
      <w:r>
        <w:rPr>
          <w:rFonts w:eastAsia="Arial" w:cs="Arial"/>
          <w:lang w:val="fr-CA"/>
        </w:rPr>
        <w:tab/>
        <w:t>Adaptable à une batterie de secours.</w:t>
      </w:r>
    </w:p>
    <w:p w14:paraId="21AD2706" w14:textId="77777777" w:rsidR="00021DED" w:rsidRDefault="00AC7B39">
      <w:pPr>
        <w:pStyle w:val="Level4"/>
        <w:rPr>
          <w:rFonts w:cs="Arial"/>
        </w:rPr>
      </w:pPr>
      <w:r>
        <w:rPr>
          <w:rFonts w:eastAsia="Arial" w:cs="Arial"/>
          <w:lang w:val="fr-CA"/>
        </w:rPr>
        <w:t xml:space="preserve"> </w:t>
      </w:r>
      <w:r>
        <w:rPr>
          <w:rFonts w:eastAsia="Arial" w:cs="Arial"/>
          <w:lang w:val="fr-CA"/>
        </w:rPr>
        <w:tab/>
        <w:t>Moteur : 24 V </w:t>
      </w:r>
      <w:proofErr w:type="spellStart"/>
      <w:r>
        <w:rPr>
          <w:rFonts w:eastAsia="Arial" w:cs="Arial"/>
          <w:lang w:val="fr-CA"/>
        </w:rPr>
        <w:t>c.c</w:t>
      </w:r>
      <w:proofErr w:type="spellEnd"/>
      <w:r>
        <w:rPr>
          <w:rFonts w:eastAsia="Arial" w:cs="Arial"/>
          <w:lang w:val="fr-CA"/>
        </w:rPr>
        <w:t xml:space="preserve">., service continu, précâblé, homologué par </w:t>
      </w:r>
      <w:proofErr w:type="spellStart"/>
      <w:r>
        <w:rPr>
          <w:rFonts w:eastAsia="Arial" w:cs="Arial"/>
          <w:lang w:val="fr-CA"/>
        </w:rPr>
        <w:t>Underwriters</w:t>
      </w:r>
      <w:proofErr w:type="spellEnd"/>
      <w:r>
        <w:rPr>
          <w:rFonts w:eastAsia="Arial" w:cs="Arial"/>
          <w:lang w:val="fr-CA"/>
        </w:rPr>
        <w:t xml:space="preserve"> </w:t>
      </w:r>
      <w:proofErr w:type="spellStart"/>
      <w:r>
        <w:rPr>
          <w:rFonts w:eastAsia="Arial" w:cs="Arial"/>
          <w:lang w:val="fr-CA"/>
        </w:rPr>
        <w:t>Laboratories</w:t>
      </w:r>
      <w:proofErr w:type="spellEnd"/>
      <w:r>
        <w:rPr>
          <w:rFonts w:eastAsia="Arial" w:cs="Arial"/>
          <w:lang w:val="fr-CA"/>
        </w:rPr>
        <w:t>.</w:t>
      </w:r>
    </w:p>
    <w:p w14:paraId="21AD2707" w14:textId="77777777" w:rsidR="00021DED" w:rsidRDefault="00AC7B39">
      <w:pPr>
        <w:pStyle w:val="Level4"/>
      </w:pPr>
      <w:r>
        <w:rPr>
          <w:rFonts w:eastAsia="Arial"/>
          <w:lang w:val="fr-CA"/>
        </w:rPr>
        <w:t xml:space="preserve"> </w:t>
      </w:r>
      <w:r>
        <w:rPr>
          <w:rFonts w:eastAsia="Arial"/>
          <w:lang w:val="fr-CA"/>
        </w:rPr>
        <w:tab/>
        <w:t xml:space="preserve">Commandes : Système de gestion d’accès séquentiel. </w:t>
      </w:r>
    </w:p>
    <w:p w14:paraId="21AD2708" w14:textId="77777777" w:rsidR="00021DED" w:rsidRDefault="00AC7B39">
      <w:pPr>
        <w:pStyle w:val="Level4"/>
      </w:pPr>
      <w:r>
        <w:rPr>
          <w:rFonts w:eastAsia="Arial"/>
          <w:lang w:val="fr-CA"/>
        </w:rPr>
        <w:t xml:space="preserve"> </w:t>
      </w:r>
      <w:r>
        <w:rPr>
          <w:rFonts w:eastAsia="Arial"/>
          <w:lang w:val="fr-CA"/>
        </w:rPr>
        <w:tab/>
        <w:t>Armoire : Aluminium.</w:t>
      </w:r>
      <w:r>
        <w:rPr>
          <w:rFonts w:eastAsia="Arial" w:cs="Arial"/>
          <w:color w:val="0070C0"/>
          <w:lang w:val="fr-CA"/>
        </w:rPr>
        <w:t xml:space="preserve"> </w:t>
      </w:r>
    </w:p>
    <w:p w14:paraId="21AD2709" w14:textId="77777777" w:rsidR="00021DED" w:rsidRDefault="00AC7B39">
      <w:pPr>
        <w:pStyle w:val="Level4"/>
      </w:pPr>
      <w:r>
        <w:rPr>
          <w:rFonts w:eastAsia="Arial"/>
          <w:lang w:val="fr-CA"/>
        </w:rPr>
        <w:t xml:space="preserve"> </w:t>
      </w:r>
      <w:r>
        <w:rPr>
          <w:rFonts w:eastAsia="Arial"/>
          <w:lang w:val="fr-CA"/>
        </w:rPr>
        <w:tab/>
        <w:t>Bras de 2,4 m (8 pi) en aluminium avec rembourrage jaune.</w:t>
      </w:r>
    </w:p>
    <w:p w14:paraId="21AD270A" w14:textId="77777777" w:rsidR="00021DED" w:rsidRDefault="00AC7B39">
      <w:pPr>
        <w:pStyle w:val="Level4"/>
      </w:pPr>
      <w:r>
        <w:rPr>
          <w:rFonts w:eastAsia="Arial"/>
          <w:lang w:val="fr-CA"/>
        </w:rPr>
        <w:t xml:space="preserve"> </w:t>
      </w:r>
      <w:r>
        <w:rPr>
          <w:rFonts w:eastAsia="Arial"/>
          <w:lang w:val="fr-CA"/>
        </w:rPr>
        <w:tab/>
        <w:t>Embrayage.</w:t>
      </w:r>
    </w:p>
    <w:p w14:paraId="21AD270B" w14:textId="77777777" w:rsidR="00021DED" w:rsidRDefault="00AC7B39">
      <w:pPr>
        <w:pStyle w:val="Level4"/>
      </w:pPr>
      <w:r>
        <w:rPr>
          <w:rFonts w:eastAsia="Arial"/>
          <w:lang w:val="fr-CA"/>
        </w:rPr>
        <w:t xml:space="preserve"> </w:t>
      </w:r>
      <w:r>
        <w:rPr>
          <w:rFonts w:eastAsia="Arial"/>
          <w:lang w:val="fr-CA"/>
        </w:rPr>
        <w:tab/>
        <w:t xml:space="preserve">Cellule photoélectrique </w:t>
      </w:r>
      <w:proofErr w:type="spellStart"/>
      <w:r>
        <w:rPr>
          <w:rFonts w:eastAsia="Arial"/>
          <w:lang w:val="fr-CA"/>
        </w:rPr>
        <w:t>rétro-réfléchissante</w:t>
      </w:r>
      <w:proofErr w:type="spellEnd"/>
      <w:r>
        <w:rPr>
          <w:rFonts w:eastAsia="Arial"/>
          <w:lang w:val="fr-CA"/>
        </w:rPr>
        <w:t>.</w:t>
      </w:r>
    </w:p>
    <w:p w14:paraId="21AD270C" w14:textId="77777777" w:rsidR="00021DED" w:rsidRDefault="00AC7B39">
      <w:pPr>
        <w:pStyle w:val="Level4"/>
      </w:pPr>
      <w:r>
        <w:rPr>
          <w:rFonts w:eastAsia="Arial"/>
          <w:lang w:val="fr-CA"/>
        </w:rPr>
        <w:t xml:space="preserve">     Récepteur radio Security+ 2.0 : </w:t>
      </w:r>
      <w:r>
        <w:rPr>
          <w:sz w:val="24"/>
          <w:szCs w:val="24"/>
          <w:lang w:val="en-CA"/>
        </w:rPr>
        <w:fldChar w:fldCharType="begin"/>
      </w:r>
      <w:r>
        <w:rPr>
          <w:sz w:val="24"/>
          <w:szCs w:val="24"/>
          <w:lang w:val="en-CA"/>
        </w:rPr>
        <w:instrText xml:space="preserve"> SEQ CHAPTER \h \r 1</w:instrText>
      </w:r>
      <w:r w:rsidR="00151ECE">
        <w:rPr>
          <w:sz w:val="24"/>
          <w:szCs w:val="24"/>
          <w:lang w:val="en-CA"/>
        </w:rPr>
        <w:fldChar w:fldCharType="separate"/>
      </w:r>
      <w:r>
        <w:rPr>
          <w:sz w:val="24"/>
          <w:szCs w:val="24"/>
          <w:lang w:val="en-CA"/>
        </w:rPr>
        <w:fldChar w:fldCharType="end"/>
      </w:r>
      <w:r>
        <w:rPr>
          <w:rFonts w:eastAsia="Arial"/>
          <w:lang w:val="fr-CA"/>
        </w:rPr>
        <w:t>Accepte les télécommandes avec technologie de code variable Security+ 2.0 et les commutateurs DIP binaires.</w:t>
      </w:r>
    </w:p>
    <w:p w14:paraId="21AD270D" w14:textId="77777777" w:rsidR="00021DED" w:rsidRDefault="00AC7B39">
      <w:pPr>
        <w:pStyle w:val="SpecPara4"/>
      </w:pPr>
      <w:r>
        <w:rPr>
          <w:rFonts w:eastAsia="Arial"/>
          <w:lang w:val="fr-CA"/>
        </w:rPr>
        <w:t xml:space="preserve"> </w:t>
      </w:r>
      <w:r>
        <w:rPr>
          <w:rFonts w:eastAsia="Arial"/>
          <w:lang w:val="fr-CA"/>
        </w:rPr>
        <w:tab/>
        <w:t>Voyant de circulation rouge/vert.</w:t>
      </w:r>
    </w:p>
    <w:p w14:paraId="21AD270E" w14:textId="77777777" w:rsidR="00021DED" w:rsidRDefault="00AC7B39">
      <w:pPr>
        <w:pStyle w:val="SpecPara4"/>
      </w:pPr>
      <w:r>
        <w:rPr>
          <w:rFonts w:eastAsia="Arial"/>
          <w:lang w:val="fr-CA"/>
        </w:rPr>
        <w:t xml:space="preserve"> </w:t>
      </w:r>
      <w:r>
        <w:rPr>
          <w:rFonts w:eastAsia="Arial"/>
          <w:lang w:val="fr-CA"/>
        </w:rPr>
        <w:tab/>
        <w:t>Détecteur de boucle à faible puissance.</w:t>
      </w:r>
    </w:p>
    <w:p w14:paraId="21AD270F" w14:textId="77777777" w:rsidR="00021DED" w:rsidRDefault="00AC7B39">
      <w:pPr>
        <w:pStyle w:val="SpecPara4"/>
      </w:pPr>
      <w:r>
        <w:rPr>
          <w:rFonts w:eastAsia="Arial"/>
          <w:lang w:val="fr-CA"/>
        </w:rPr>
        <w:t xml:space="preserve"> </w:t>
      </w:r>
      <w:r>
        <w:rPr>
          <w:rFonts w:eastAsia="Arial"/>
          <w:lang w:val="fr-CA"/>
        </w:rPr>
        <w:tab/>
        <w:t>Récepteur de contrôle d'accès d'application commerciale.</w:t>
      </w:r>
    </w:p>
    <w:p w14:paraId="21AD2710" w14:textId="77777777" w:rsidR="00021DED" w:rsidRDefault="00AC7B39">
      <w:pPr>
        <w:pStyle w:val="SpecPara4"/>
      </w:pPr>
      <w:r>
        <w:rPr>
          <w:rFonts w:eastAsia="Arial"/>
          <w:lang w:val="fr-CA"/>
        </w:rPr>
        <w:t xml:space="preserve"> </w:t>
      </w:r>
      <w:r>
        <w:rPr>
          <w:rFonts w:eastAsia="Arial"/>
          <w:lang w:val="fr-CA"/>
        </w:rPr>
        <w:tab/>
        <w:t>Chauffage.</w:t>
      </w:r>
    </w:p>
    <w:p w14:paraId="21AD2711" w14:textId="77777777" w:rsidR="00021DED" w:rsidRDefault="00AC7B39">
      <w:pPr>
        <w:pStyle w:val="SpecPara4"/>
      </w:pPr>
      <w:r>
        <w:rPr>
          <w:rFonts w:eastAsia="Arial"/>
          <w:lang w:val="fr-CA"/>
        </w:rPr>
        <w:t xml:space="preserve"> </w:t>
      </w:r>
      <w:r>
        <w:rPr>
          <w:rFonts w:eastAsia="Arial"/>
          <w:lang w:val="fr-CA"/>
        </w:rPr>
        <w:tab/>
        <w:t>Module de minuterie de fermeture.</w:t>
      </w:r>
    </w:p>
    <w:p w14:paraId="21AD2712" w14:textId="77777777" w:rsidR="00021DED" w:rsidRDefault="00AC7B39">
      <w:pPr>
        <w:pStyle w:val="SpecPara4"/>
      </w:pPr>
      <w:r>
        <w:rPr>
          <w:rFonts w:eastAsia="Arial"/>
          <w:lang w:val="fr-CA"/>
        </w:rPr>
        <w:t xml:space="preserve"> </w:t>
      </w:r>
      <w:r>
        <w:rPr>
          <w:rFonts w:eastAsia="Arial"/>
          <w:lang w:val="fr-CA"/>
        </w:rPr>
        <w:tab/>
        <w:t>Portail d’accès connecté de haute capacité.</w:t>
      </w:r>
    </w:p>
    <w:p w14:paraId="21AD2713" w14:textId="77777777" w:rsidR="00021DED" w:rsidRDefault="00AC7B39">
      <w:pPr>
        <w:pStyle w:val="SpecPara4"/>
      </w:pPr>
      <w:r>
        <w:rPr>
          <w:rFonts w:eastAsia="Arial"/>
          <w:lang w:val="fr-CA"/>
        </w:rPr>
        <w:lastRenderedPageBreak/>
        <w:t xml:space="preserve"> </w:t>
      </w:r>
      <w:r>
        <w:rPr>
          <w:rFonts w:eastAsia="Arial"/>
          <w:lang w:val="fr-CA"/>
        </w:rPr>
        <w:tab/>
        <w:t>Portail d’accès connecté à deux portes.</w:t>
      </w:r>
    </w:p>
    <w:p w14:paraId="21AD2714" w14:textId="77777777" w:rsidR="00021DED" w:rsidRDefault="00AC7B39">
      <w:pPr>
        <w:pStyle w:val="Level1"/>
      </w:pPr>
      <w:r>
        <w:rPr>
          <w:rFonts w:eastAsia="Arial"/>
          <w:bCs/>
          <w:lang w:val="fr-CA"/>
        </w:rPr>
        <w:tab/>
        <w:t>EXÉCUTION</w:t>
      </w:r>
    </w:p>
    <w:p w14:paraId="21AD2715" w14:textId="77777777" w:rsidR="00021DED" w:rsidRDefault="00AC7B39">
      <w:pPr>
        <w:pStyle w:val="Level2"/>
      </w:pPr>
      <w:r>
        <w:rPr>
          <w:rFonts w:eastAsia="Arial"/>
          <w:lang w:val="fr-CA"/>
        </w:rPr>
        <w:tab/>
        <w:t>INSTALLATION</w:t>
      </w:r>
    </w:p>
    <w:p w14:paraId="21AD2716" w14:textId="77777777" w:rsidR="00021DED" w:rsidRDefault="00AC7B39">
      <w:pPr>
        <w:pStyle w:val="Level3"/>
      </w:pPr>
      <w:r>
        <w:rPr>
          <w:rFonts w:eastAsia="Arial"/>
          <w:lang w:val="fr-CA"/>
        </w:rPr>
        <w:tab/>
        <w:t xml:space="preserve">Installer conformément aux instructions du fabricant. </w:t>
      </w:r>
    </w:p>
    <w:p w14:paraId="21AD2717" w14:textId="77777777" w:rsidR="00021DED" w:rsidRDefault="00AC7B39">
      <w:pPr>
        <w:pStyle w:val="Level2"/>
      </w:pPr>
      <w:r>
        <w:rPr>
          <w:rFonts w:eastAsia="Arial"/>
          <w:lang w:val="fr-CA"/>
        </w:rPr>
        <w:tab/>
        <w:t>ACTIVITÉS DE CLÔTURE</w:t>
      </w:r>
    </w:p>
    <w:p w14:paraId="21AD2718" w14:textId="77777777" w:rsidR="00021DED" w:rsidRDefault="00AC7B39">
      <w:pPr>
        <w:pStyle w:val="Level3"/>
      </w:pPr>
      <w:r>
        <w:rPr>
          <w:rFonts w:eastAsia="Arial"/>
          <w:lang w:val="fr-CA"/>
        </w:rPr>
        <w:t xml:space="preserve"> </w:t>
      </w:r>
      <w:r>
        <w:rPr>
          <w:rFonts w:eastAsia="Arial"/>
          <w:lang w:val="fr-CA"/>
        </w:rPr>
        <w:tab/>
        <w:t>Tester et ajuster le bon fonctionnement des opérateurs.</w:t>
      </w:r>
    </w:p>
    <w:p w14:paraId="21AD2719" w14:textId="77777777" w:rsidR="00021DED" w:rsidRDefault="00AC7B39">
      <w:pPr>
        <w:pStyle w:val="Level3"/>
      </w:pPr>
      <w:r>
        <w:rPr>
          <w:rFonts w:eastAsia="Arial"/>
          <w:lang w:val="fr-CA"/>
        </w:rPr>
        <w:tab/>
        <w:t>Démonstration : Démontrer le fonctionnement et la programmation des opérateurs au propriétaire.</w:t>
      </w:r>
    </w:p>
    <w:p w14:paraId="21AD271A" w14:textId="77777777" w:rsidR="00021DED" w:rsidRDefault="00021DED">
      <w:pPr>
        <w:rPr>
          <w:rFonts w:cs="Arial"/>
        </w:rPr>
      </w:pPr>
    </w:p>
    <w:p w14:paraId="21AD271B" w14:textId="77777777" w:rsidR="00021DED" w:rsidRDefault="00021DED">
      <w:pPr>
        <w:rPr>
          <w:rFonts w:cs="Arial"/>
        </w:rPr>
      </w:pPr>
    </w:p>
    <w:p w14:paraId="21AD271C" w14:textId="77777777" w:rsidR="00021DED" w:rsidRDefault="00AC7B39">
      <w:pPr>
        <w:jc w:val="center"/>
        <w:rPr>
          <w:rFonts w:cs="Arial"/>
        </w:rPr>
      </w:pPr>
      <w:r>
        <w:rPr>
          <w:rFonts w:eastAsia="Arial" w:cs="Arial"/>
          <w:lang w:val="fr-CA"/>
        </w:rPr>
        <w:t>FIN DE LA SECTION</w:t>
      </w:r>
    </w:p>
    <w:sectPr w:rsidR="00021DED">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26:00Z" w:initials="ZD">
    <w:p w14:paraId="21AD271D" w14:textId="446E0514" w:rsidR="00021DED" w:rsidRDefault="00AC7B39">
      <w:pPr>
        <w:pStyle w:val="CommentText"/>
      </w:pPr>
      <w:r>
        <w:rPr>
          <w:rStyle w:val="CommentReference"/>
        </w:rPr>
        <w:annotationRef/>
      </w:r>
    </w:p>
    <w:p w14:paraId="6E98E166" w14:textId="77777777" w:rsidR="00EB515B" w:rsidRDefault="00EB515B" w:rsidP="00EB515B">
      <w:pPr>
        <w:pStyle w:val="CommentText"/>
        <w:rPr>
          <w:lang w:val="fr-FR"/>
        </w:rPr>
      </w:pPr>
      <w:r>
        <w:rPr>
          <w:rFonts w:eastAsia="Arial"/>
          <w:color w:val="0070C0"/>
          <w:lang w:val="fr-CA"/>
        </w:rPr>
        <w:t>Cette section de spécifications du guide a été rédigée par LiftMaster pour servir à la préparation d’une section de spécifications de projet couvrant les barrières de contrôle pour le stationnement.</w:t>
      </w:r>
    </w:p>
    <w:p w14:paraId="7A0C0B93" w14:textId="77777777" w:rsidR="00EB515B" w:rsidRDefault="00EB515B" w:rsidP="00EB515B">
      <w:pPr>
        <w:pStyle w:val="CommentText"/>
        <w:rPr>
          <w:lang w:val="fr-FR"/>
        </w:rPr>
      </w:pPr>
    </w:p>
    <w:p w14:paraId="3B24FA9E" w14:textId="77777777" w:rsidR="00EB515B" w:rsidRDefault="00EB515B" w:rsidP="00EB515B">
      <w:pPr>
        <w:pStyle w:val="CommentText"/>
        <w:rPr>
          <w:lang w:val="fr-FR"/>
        </w:rPr>
      </w:pPr>
      <w:r>
        <w:rPr>
          <w:rFonts w:eastAsia="Arial"/>
          <w:color w:val="0070C0"/>
          <w:lang w:val="fr-CA"/>
        </w:rPr>
        <w:t>Les éléments suivants doivent être notés dans l’utilisation de cette spécification :</w:t>
      </w:r>
    </w:p>
    <w:p w14:paraId="14AF4EC0" w14:textId="77777777" w:rsidR="00EB515B" w:rsidRDefault="00EB515B" w:rsidP="00EB515B">
      <w:pPr>
        <w:pStyle w:val="CommentText"/>
        <w:rPr>
          <w:lang w:val="fr-FR"/>
        </w:rPr>
      </w:pPr>
    </w:p>
    <w:p w14:paraId="246CDCF1" w14:textId="77777777" w:rsidR="00EB515B" w:rsidRDefault="00EB515B" w:rsidP="00EB515B">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7F64BE12" w14:textId="77777777" w:rsidR="00EB515B" w:rsidRDefault="00EB515B" w:rsidP="00EB515B">
      <w:pPr>
        <w:pStyle w:val="CommentText"/>
        <w:rPr>
          <w:lang w:val="fr-FR"/>
        </w:rPr>
      </w:pPr>
    </w:p>
    <w:p w14:paraId="56DCC567" w14:textId="77777777" w:rsidR="00EB515B" w:rsidRDefault="00EB515B" w:rsidP="00EB515B">
      <w:pPr>
        <w:pStyle w:val="CommentText"/>
        <w:rPr>
          <w:lang w:val="fr-FR"/>
        </w:rPr>
      </w:pPr>
      <w:r>
        <w:rPr>
          <w:rFonts w:eastAsia="Arial"/>
          <w:color w:val="0070C0"/>
          <w:lang w:val="fr-CA"/>
        </w:rPr>
        <w:t xml:space="preserve">www.acme.com  </w:t>
      </w:r>
    </w:p>
    <w:p w14:paraId="6E8DECD6" w14:textId="77777777" w:rsidR="00EB515B" w:rsidRDefault="00EB515B" w:rsidP="00EB515B">
      <w:pPr>
        <w:pStyle w:val="CommentText"/>
        <w:rPr>
          <w:lang w:val="fr-FR"/>
        </w:rPr>
      </w:pPr>
    </w:p>
    <w:p w14:paraId="55C3C793" w14:textId="77777777" w:rsidR="00EB515B" w:rsidRDefault="00EB515B" w:rsidP="00EB515B">
      <w:pPr>
        <w:pStyle w:val="CommentText"/>
        <w:rPr>
          <w:lang w:val="fr-FR"/>
        </w:rPr>
      </w:pPr>
      <w:r>
        <w:rPr>
          <w:rFonts w:eastAsia="Arial"/>
          <w:color w:val="0070C0"/>
          <w:lang w:val="fr-CA"/>
        </w:rPr>
        <w:t xml:space="preserve">Le texte facultatif nécessitant une sélection par l’utilisateur est inclus entre guillemets et affiché en rouge, par exemple :  ACouleur : </w:t>
      </w:r>
      <w:r>
        <w:rPr>
          <w:rFonts w:eastAsia="Arial"/>
          <w:color w:val="FF0000"/>
          <w:lang w:val="fr-CA"/>
        </w:rPr>
        <w:t>[Rouge.] [Noir.]</w:t>
      </w:r>
      <w:r>
        <w:rPr>
          <w:rFonts w:eastAsia="Arial"/>
          <w:color w:val="0070C0"/>
          <w:lang w:val="fr-CA"/>
        </w:rPr>
        <w:t>"</w:t>
      </w:r>
    </w:p>
    <w:p w14:paraId="52CC39BA" w14:textId="77777777" w:rsidR="00EB515B" w:rsidRDefault="00EB515B" w:rsidP="00EB515B">
      <w:pPr>
        <w:pStyle w:val="CommentText"/>
        <w:rPr>
          <w:lang w:val="fr-FR"/>
        </w:rPr>
      </w:pPr>
    </w:p>
    <w:p w14:paraId="7FCF80EA" w14:textId="77777777" w:rsidR="00EB515B" w:rsidRDefault="00EB515B" w:rsidP="00EB515B">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569183DF" w14:textId="77777777" w:rsidR="00EB515B" w:rsidRDefault="00EB515B" w:rsidP="00EB515B">
      <w:pPr>
        <w:pStyle w:val="CommentText"/>
        <w:rPr>
          <w:lang w:val="fr-FR"/>
        </w:rPr>
      </w:pPr>
    </w:p>
    <w:p w14:paraId="277CED63" w14:textId="77777777" w:rsidR="00EB515B" w:rsidRDefault="00EB515B" w:rsidP="00EB515B">
      <w:pPr>
        <w:pStyle w:val="CommentText"/>
        <w:rPr>
          <w:lang w:val="fr-FR"/>
        </w:rPr>
      </w:pPr>
      <w:r>
        <w:rPr>
          <w:rFonts w:eastAsia="Arial"/>
          <w:color w:val="0070C0"/>
          <w:lang w:val="fr-CA"/>
        </w:rPr>
        <w:t>Les paragraphes facultatifs sont séparés par une instruction « OU » affichée en rouge, p. ex. :</w:t>
      </w:r>
    </w:p>
    <w:p w14:paraId="7EABAD9A" w14:textId="77777777" w:rsidR="00EB515B" w:rsidRDefault="00EB515B" w:rsidP="00EB515B">
      <w:pPr>
        <w:pStyle w:val="CommentText"/>
        <w:rPr>
          <w:lang w:val="fr-FR"/>
        </w:rPr>
      </w:pPr>
    </w:p>
    <w:p w14:paraId="1B2FE775" w14:textId="77777777" w:rsidR="00EB515B" w:rsidRDefault="00EB515B" w:rsidP="00EB515B">
      <w:pPr>
        <w:pStyle w:val="CommentText"/>
        <w:rPr>
          <w:lang w:val="fr-FR"/>
        </w:rPr>
      </w:pPr>
      <w:r>
        <w:rPr>
          <w:rFonts w:eastAsia="Arial"/>
          <w:color w:val="0070C0"/>
          <w:lang w:val="fr-CA"/>
        </w:rPr>
        <w:tab/>
      </w:r>
      <w:r>
        <w:rPr>
          <w:rFonts w:eastAsia="Arial"/>
          <w:color w:val="FF0000"/>
          <w:lang w:val="fr-CA"/>
        </w:rPr>
        <w:t>**** OU ****</w:t>
      </w:r>
    </w:p>
    <w:p w14:paraId="17CF2662" w14:textId="77777777" w:rsidR="00EB515B" w:rsidRDefault="00EB515B" w:rsidP="00EB515B">
      <w:pPr>
        <w:pStyle w:val="CommentText"/>
        <w:rPr>
          <w:lang w:val="fr-FR"/>
        </w:rPr>
      </w:pPr>
    </w:p>
    <w:p w14:paraId="01003DE5" w14:textId="77777777" w:rsidR="00EB515B" w:rsidRDefault="00EB515B" w:rsidP="00EB515B">
      <w:pPr>
        <w:pStyle w:val="CommentText"/>
        <w:rPr>
          <w:lang w:val="fr-FR"/>
        </w:rPr>
      </w:pPr>
      <w:r>
        <w:rPr>
          <w:rFonts w:eastAsia="Arial"/>
          <w:color w:val="0070C0"/>
          <w:lang w:val="fr-CA"/>
        </w:rPr>
        <w:t xml:space="preserve">Pour obtenir de l’aide sur l’utilisation des produits de cette section, contactez LiftMaster en composant le 800 528-5880 ou rendez-vous sur le site Web </w:t>
      </w:r>
      <w:r>
        <w:rPr>
          <w:rFonts w:eastAsia="Arial"/>
          <w:color w:val="0070C0"/>
          <w:u w:val="single"/>
          <w:lang w:val="fr-CA"/>
        </w:rPr>
        <w:t>www.LiftMaster.com</w:t>
      </w:r>
      <w:r>
        <w:rPr>
          <w:rFonts w:eastAsia="Arial"/>
          <w:color w:val="0070C0"/>
          <w:lang w:val="fr-CA"/>
        </w:rPr>
        <w:t xml:space="preserve">. </w:t>
      </w:r>
    </w:p>
    <w:p w14:paraId="015327D4" w14:textId="77777777" w:rsidR="00EB515B" w:rsidRDefault="00EB515B" w:rsidP="00EB515B">
      <w:pPr>
        <w:pStyle w:val="CommentText"/>
        <w:rPr>
          <w:lang w:val="fr-FR"/>
        </w:rPr>
      </w:pPr>
    </w:p>
    <w:p w14:paraId="21AD271E" w14:textId="6E2B94E1" w:rsidR="00021DED" w:rsidRDefault="00EB515B" w:rsidP="00EB515B">
      <w:pPr>
        <w:pStyle w:val="CommentText"/>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AD27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AD271E" w16cid:durableId="263740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1FD25" w14:textId="77777777" w:rsidR="00151ECE" w:rsidRDefault="00151ECE">
      <w:r>
        <w:separator/>
      </w:r>
    </w:p>
  </w:endnote>
  <w:endnote w:type="continuationSeparator" w:id="0">
    <w:p w14:paraId="399B512F" w14:textId="77777777" w:rsidR="00151ECE" w:rsidRDefault="0015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2727" w14:textId="77777777" w:rsidR="00021DED" w:rsidRDefault="00021DED">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21AD2728" w14:textId="77777777" w:rsidR="00021DED" w:rsidRDefault="00021D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2729" w14:textId="77777777" w:rsidR="00021DED" w:rsidRDefault="00021DED">
    <w:pPr>
      <w:tabs>
        <w:tab w:val="center" w:pos="5040"/>
        <w:tab w:val="right" w:pos="10079"/>
      </w:tabs>
      <w:rPr>
        <w:rFonts w:cs="Arial"/>
      </w:rPr>
    </w:pPr>
  </w:p>
  <w:p w14:paraId="21AD272A" w14:textId="77777777" w:rsidR="00021DED" w:rsidRDefault="00AC7B39">
    <w:pPr>
      <w:tabs>
        <w:tab w:val="center" w:pos="5040"/>
        <w:tab w:val="right" w:pos="10079"/>
      </w:tabs>
      <w:rPr>
        <w:rFonts w:cs="Arial"/>
      </w:rPr>
    </w:pPr>
    <w:r>
      <w:rPr>
        <w:rFonts w:eastAsia="Arial" w:cs="Arial"/>
        <w:lang w:val="fr-CA"/>
      </w:rPr>
      <w:t>Barrières de stationnement</w:t>
    </w:r>
    <w:r>
      <w:rPr>
        <w:rFonts w:eastAsia="Arial" w:cs="Arial"/>
        <w:lang w:val="fr-CA"/>
      </w:rPr>
      <w:tab/>
    </w:r>
    <w:r>
      <w:rPr>
        <w:rFonts w:eastAsia="Arial" w:cs="Arial"/>
        <w:lang w:val="fr-CA"/>
      </w:rPr>
      <w:tab/>
      <w:t>11 12 33-</w:t>
    </w:r>
    <w:r>
      <w:rPr>
        <w:rFonts w:cs="Arial"/>
      </w:rPr>
      <w:fldChar w:fldCharType="begin"/>
    </w:r>
    <w:r>
      <w:rPr>
        <w:rFonts w:cs="Arial"/>
      </w:rPr>
      <w:instrText>PAGE</w:instrText>
    </w:r>
    <w:r>
      <w:rPr>
        <w:rFonts w:cs="Arial"/>
      </w:rPr>
      <w:fldChar w:fldCharType="separate"/>
    </w:r>
    <w:r>
      <w:rPr>
        <w:rFonts w:cs="Arial"/>
        <w:noProof/>
      </w:rPr>
      <w:t>3</w:t>
    </w:r>
    <w:r>
      <w:rPr>
        <w:rFonts w:cs="Arial"/>
      </w:rPr>
      <w:fldChar w:fldCharType="end"/>
    </w:r>
    <w:r>
      <w:rPr>
        <w:rFonts w:eastAsia="Arial" w:cs="Arial"/>
        <w:lang w:val="fr-CA"/>
      </w:rPr>
      <w:tab/>
    </w:r>
  </w:p>
  <w:p w14:paraId="21AD272B" w14:textId="77777777" w:rsidR="00021DED" w:rsidRDefault="00AC7B39">
    <w:pPr>
      <w:tabs>
        <w:tab w:val="center" w:pos="5040"/>
        <w:tab w:val="right" w:pos="10079"/>
      </w:tabs>
      <w:rPr>
        <w:rFonts w:cs="Arial"/>
      </w:rPr>
    </w:pPr>
    <w:r>
      <w:rPr>
        <w:rFonts w:eastAsia="Arial" w:cs="Arial"/>
        <w:lang w:val="fr-CA"/>
      </w:rPr>
      <w:t>04/13/2022</w:t>
    </w:r>
  </w:p>
  <w:p w14:paraId="21AD272C" w14:textId="77777777" w:rsidR="00021DED" w:rsidRDefault="00021DED">
    <w:pPr>
      <w:tabs>
        <w:tab w:val="center" w:pos="5040"/>
        <w:tab w:val="right" w:pos="1007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7254A" w14:textId="77777777" w:rsidR="00151ECE" w:rsidRDefault="00151ECE">
      <w:r>
        <w:separator/>
      </w:r>
    </w:p>
  </w:footnote>
  <w:footnote w:type="continuationSeparator" w:id="0">
    <w:p w14:paraId="21A41683" w14:textId="77777777" w:rsidR="00151ECE" w:rsidRDefault="00151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2723" w14:textId="77777777" w:rsidR="00021DED" w:rsidRDefault="00021DE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1AD2724" w14:textId="77777777" w:rsidR="00021DED" w:rsidRDefault="00021D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2725" w14:textId="77777777" w:rsidR="00021DED" w:rsidRDefault="00021DE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1AD2726" w14:textId="77777777" w:rsidR="00021DED" w:rsidRDefault="00021D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DED"/>
    <w:rsid w:val="00021DED"/>
    <w:rsid w:val="000F03FC"/>
    <w:rsid w:val="00151ECE"/>
    <w:rsid w:val="004D75BF"/>
    <w:rsid w:val="00930818"/>
    <w:rsid w:val="009B2291"/>
    <w:rsid w:val="00AC7B39"/>
    <w:rsid w:val="00EA31EC"/>
    <w:rsid w:val="00EB51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D269C"/>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2021-02-09T18:29:00Z</cp:lastPrinted>
  <dcterms:created xsi:type="dcterms:W3CDTF">2022-05-24T16:55:00Z</dcterms:created>
  <dcterms:modified xsi:type="dcterms:W3CDTF">2022-05-24T16:56:00Z</dcterms:modified>
</cp:coreProperties>
</file>