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A00C" w14:textId="77777777" w:rsidR="006E6B4F" w:rsidRDefault="007A5834">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000AA00D"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00AA00E"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000AA00F"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00AA010"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000AA011"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00AA012"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000AA013" w14:textId="77777777" w:rsidR="006E6B4F" w:rsidRDefault="006E6B4F">
      <w:pPr>
        <w:pStyle w:val="Header"/>
        <w:tabs>
          <w:tab w:val="clear" w:pos="4680"/>
          <w:tab w:val="clear" w:pos="9360"/>
          <w:tab w:val="center" w:pos="5040"/>
          <w:tab w:val="right" w:pos="10080"/>
        </w:tabs>
        <w:contextualSpacing/>
        <w:rPr>
          <w:rFonts w:cs="Arial"/>
          <w:color w:val="0070C0"/>
        </w:rPr>
      </w:pPr>
    </w:p>
    <w:p w14:paraId="000AA014"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000AA015"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00AA016"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000AA017"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00AA018"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000AA019"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00AA01A"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000AA01B"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00AA01C"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000AA01D"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00AA01E"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000AA01F"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00AA020" w14:textId="77777777" w:rsidR="006E6B4F" w:rsidRDefault="007A5834">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000AA021"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00AA022"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000AA023"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00AA024" w14:textId="77777777" w:rsidR="006E6B4F" w:rsidRDefault="007A58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Cette spécification a été préparée à partir de modèles de spécification SimpleSpecsMC. Le système de spécifications du guide maî</w:t>
      </w:r>
      <w:r>
        <w:rPr>
          <w:rFonts w:eastAsia="Arial" w:cs="Arial"/>
          <w:color w:val="0070C0"/>
          <w:lang w:val="fr-CA"/>
        </w:rPr>
        <w:t>tre SimpleSpecsMC comprend une spécification architecturale maître complète qui peut être utilisée pour spécifier toutes les exigences du projet. Pour de plus amples renseignements sur les produits SimpleSpecsMC,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00AA025" w14:textId="77777777" w:rsidR="006E6B4F" w:rsidRDefault="006E6B4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00AA026" w14:textId="77777777" w:rsidR="006E6B4F" w:rsidRDefault="007A5834">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000AA027" w14:textId="77777777" w:rsidR="006E6B4F" w:rsidRDefault="006E6B4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00AA028" w14:textId="77777777" w:rsidR="006E6B4F" w:rsidRDefault="007A5834">
      <w:pPr>
        <w:pStyle w:val="Level1"/>
      </w:pPr>
      <w:r>
        <w:rPr>
          <w:rFonts w:eastAsia="Arial"/>
          <w:bCs/>
          <w:lang w:val="fr-CA"/>
        </w:rPr>
        <w:tab/>
        <w:t>GÉNÉRALITÉS</w:t>
      </w:r>
    </w:p>
    <w:p w14:paraId="000AA029" w14:textId="77777777" w:rsidR="006E6B4F" w:rsidRDefault="006E6B4F"/>
    <w:p w14:paraId="000AA02A" w14:textId="77777777" w:rsidR="006E6B4F" w:rsidRDefault="007A5834">
      <w:pPr>
        <w:pStyle w:val="Level2"/>
      </w:pPr>
      <w:r>
        <w:rPr>
          <w:rFonts w:eastAsia="Arial"/>
          <w:lang w:val="fr-CA"/>
        </w:rPr>
        <w:tab/>
        <w:t>SOUMISSIONS</w:t>
      </w:r>
    </w:p>
    <w:p w14:paraId="000AA02B" w14:textId="77777777" w:rsidR="006E6B4F" w:rsidRDefault="007A5834">
      <w:r>
        <w:t xml:space="preserve"> </w:t>
      </w:r>
    </w:p>
    <w:p w14:paraId="000AA02C" w14:textId="77777777" w:rsidR="006E6B4F" w:rsidRDefault="007A5834">
      <w:pPr>
        <w:pStyle w:val="Level3"/>
      </w:pPr>
      <w:r>
        <w:rPr>
          <w:rFonts w:eastAsia="Arial"/>
          <w:lang w:val="fr-CA"/>
        </w:rPr>
        <w:tab/>
        <w:t>Soumissions d’action :</w:t>
      </w:r>
    </w:p>
    <w:p w14:paraId="000AA02D" w14:textId="77777777" w:rsidR="006E6B4F" w:rsidRDefault="007A5834">
      <w:pPr>
        <w:pStyle w:val="Level4"/>
      </w:pPr>
      <w:r>
        <w:rPr>
          <w:rFonts w:eastAsia="Arial"/>
          <w:lang w:val="fr-CA"/>
        </w:rPr>
        <w:tab/>
        <w:t>Données sur le produit : Données descriptives du fabricant et attributs du produit.</w:t>
      </w:r>
    </w:p>
    <w:p w14:paraId="000AA02E" w14:textId="77777777" w:rsidR="006E6B4F" w:rsidRDefault="006E6B4F"/>
    <w:p w14:paraId="000AA02F" w14:textId="77777777" w:rsidR="006E6B4F" w:rsidRDefault="007A5834">
      <w:pPr>
        <w:pStyle w:val="Level3"/>
      </w:pPr>
      <w:r>
        <w:rPr>
          <w:rFonts w:eastAsia="Arial"/>
          <w:lang w:val="fr-CA"/>
        </w:rPr>
        <w:tab/>
        <w:t>Soumissions de clôture :</w:t>
      </w:r>
    </w:p>
    <w:p w14:paraId="000AA030" w14:textId="77777777" w:rsidR="006E6B4F" w:rsidRDefault="007A5834">
      <w:pPr>
        <w:pStyle w:val="Level4"/>
      </w:pPr>
      <w:r>
        <w:rPr>
          <w:rFonts w:eastAsia="Arial"/>
          <w:lang w:val="fr-CA"/>
        </w:rPr>
        <w:tab/>
        <w:t>Données de fonctionnement et d’entretien</w:t>
      </w:r>
    </w:p>
    <w:p w14:paraId="000AA031" w14:textId="77777777" w:rsidR="006E6B4F" w:rsidRDefault="006E6B4F">
      <w:bookmarkStart w:id="1" w:name="_Hlk37778670"/>
    </w:p>
    <w:p w14:paraId="000AA032" w14:textId="77777777" w:rsidR="006E6B4F" w:rsidRDefault="007A5834">
      <w:pPr>
        <w:pStyle w:val="Level2"/>
      </w:pPr>
      <w:r>
        <w:rPr>
          <w:rFonts w:eastAsia="Arial"/>
          <w:lang w:val="fr-CA"/>
        </w:rPr>
        <w:tab/>
        <w:t>ASSURANCE DE LA QUALITÉ</w:t>
      </w:r>
    </w:p>
    <w:p w14:paraId="000AA033" w14:textId="77777777" w:rsidR="006E6B4F" w:rsidRDefault="006E6B4F"/>
    <w:p w14:paraId="000AA034" w14:textId="77777777" w:rsidR="006E6B4F" w:rsidRDefault="007A5834">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000AA035" w14:textId="77777777" w:rsidR="006E6B4F" w:rsidRDefault="006E6B4F"/>
    <w:p w14:paraId="000AA036" w14:textId="77777777" w:rsidR="006E6B4F" w:rsidRDefault="007A5834">
      <w:pPr>
        <w:pStyle w:val="Level2"/>
      </w:pPr>
      <w:r>
        <w:rPr>
          <w:rFonts w:eastAsia="Arial"/>
          <w:lang w:val="fr-CA"/>
        </w:rPr>
        <w:tab/>
        <w:t>GARANTIE</w:t>
      </w:r>
    </w:p>
    <w:p w14:paraId="000AA037" w14:textId="77777777" w:rsidR="006E6B4F" w:rsidRDefault="006E6B4F"/>
    <w:p w14:paraId="000AA038" w14:textId="77777777" w:rsidR="006E6B4F" w:rsidRDefault="007A5834">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000AA039" w14:textId="77777777" w:rsidR="006E6B4F" w:rsidRDefault="006E6B4F">
      <w:pPr>
        <w:rPr>
          <w:rFonts w:cs="Arial"/>
          <w:color w:val="0070C0"/>
        </w:rPr>
      </w:pPr>
    </w:p>
    <w:p w14:paraId="000AA03A" w14:textId="77777777" w:rsidR="006E6B4F" w:rsidRDefault="007A5834">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000AA03B" w14:textId="77777777" w:rsidR="006E6B4F" w:rsidRDefault="006E6B4F"/>
    <w:p w14:paraId="000AA03C" w14:textId="77777777" w:rsidR="006E6B4F" w:rsidRDefault="007A5834">
      <w:pPr>
        <w:pStyle w:val="Level1"/>
      </w:pPr>
      <w:r>
        <w:rPr>
          <w:rFonts w:eastAsia="Arial"/>
          <w:bCs/>
          <w:lang w:val="fr-CA"/>
        </w:rPr>
        <w:tab/>
        <w:t>PRODUITS</w:t>
      </w:r>
    </w:p>
    <w:p w14:paraId="000AA03D" w14:textId="77777777" w:rsidR="006E6B4F" w:rsidRDefault="006E6B4F"/>
    <w:p w14:paraId="000AA03E" w14:textId="77777777" w:rsidR="006E6B4F" w:rsidRDefault="007A5834">
      <w:pPr>
        <w:pStyle w:val="Level2"/>
      </w:pPr>
      <w:r>
        <w:rPr>
          <w:rFonts w:eastAsia="Arial"/>
          <w:lang w:val="fr-CA"/>
        </w:rPr>
        <w:tab/>
        <w:t>FABRICANTS</w:t>
      </w:r>
    </w:p>
    <w:p w14:paraId="000AA03F" w14:textId="77777777" w:rsidR="006E6B4F" w:rsidRDefault="006E6B4F"/>
    <w:p w14:paraId="000AA040" w14:textId="77777777" w:rsidR="006E6B4F" w:rsidRDefault="007A5834">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000AA041" w14:textId="77777777" w:rsidR="006E6B4F" w:rsidRDefault="006E6B4F">
      <w:pPr>
        <w:pStyle w:val="Level4"/>
        <w:numPr>
          <w:ilvl w:val="0"/>
          <w:numId w:val="0"/>
        </w:numPr>
      </w:pPr>
    </w:p>
    <w:p w14:paraId="000AA042" w14:textId="77777777" w:rsidR="006E6B4F" w:rsidRDefault="007A5834">
      <w:pPr>
        <w:pStyle w:val="Level3"/>
      </w:pPr>
      <w:r>
        <w:rPr>
          <w:rFonts w:eastAsia="Arial"/>
          <w:lang w:val="fr-CA"/>
        </w:rPr>
        <w:tab/>
        <w:t xml:space="preserve">Substitutions : </w:t>
      </w:r>
      <w:r>
        <w:rPr>
          <w:rFonts w:eastAsia="Arial"/>
          <w:color w:val="FF0000"/>
          <w:lang w:val="fr-CA"/>
        </w:rPr>
        <w:t>[Consultez la Division 01.] [Non autorisé.]</w:t>
      </w:r>
    </w:p>
    <w:p w14:paraId="000AA043" w14:textId="77777777" w:rsidR="006E6B4F" w:rsidRDefault="006E6B4F"/>
    <w:p w14:paraId="000AA044" w14:textId="77777777" w:rsidR="006E6B4F" w:rsidRDefault="007A5834">
      <w:pPr>
        <w:pStyle w:val="Level2"/>
      </w:pPr>
      <w:r>
        <w:rPr>
          <w:rFonts w:eastAsia="Arial"/>
          <w:lang w:val="fr-CA"/>
        </w:rPr>
        <w:tab/>
        <w:t>UNITÉS FABRIQUÉES</w:t>
      </w:r>
    </w:p>
    <w:p w14:paraId="000AA045" w14:textId="77777777" w:rsidR="006E6B4F" w:rsidRDefault="006E6B4F">
      <w:pPr>
        <w:rPr>
          <w:rFonts w:cs="Arial"/>
          <w:color w:val="0070C0"/>
        </w:rPr>
      </w:pPr>
    </w:p>
    <w:p w14:paraId="000AA046" w14:textId="77777777" w:rsidR="006E6B4F" w:rsidRDefault="007A5834">
      <w:pPr>
        <w:rPr>
          <w:rFonts w:cs="Arial"/>
          <w:color w:val="0070C0"/>
        </w:rPr>
      </w:pPr>
      <w:r>
        <w:rPr>
          <w:rFonts w:eastAsia="Arial" w:cs="Arial"/>
          <w:color w:val="0070C0"/>
          <w:lang w:val="fr-CA"/>
        </w:rPr>
        <w:t>Les boîtiers NEMA sont classés comme suit :</w:t>
      </w:r>
    </w:p>
    <w:p w14:paraId="000AA047" w14:textId="77777777" w:rsidR="006E6B4F" w:rsidRDefault="006E6B4F">
      <w:pPr>
        <w:rPr>
          <w:rFonts w:cs="Arial"/>
          <w:color w:val="0070C0"/>
        </w:rPr>
      </w:pPr>
    </w:p>
    <w:p w14:paraId="000AA048" w14:textId="77777777" w:rsidR="006E6B4F" w:rsidRDefault="007A5834">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000AA049" w14:textId="77777777" w:rsidR="006E6B4F" w:rsidRDefault="006E6B4F">
      <w:pPr>
        <w:rPr>
          <w:rFonts w:cs="Arial"/>
          <w:color w:val="0070C0"/>
        </w:rPr>
      </w:pPr>
    </w:p>
    <w:p w14:paraId="000AA04A" w14:textId="77777777" w:rsidR="006E6B4F" w:rsidRDefault="007A5834">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000AA04B" w14:textId="77777777" w:rsidR="006E6B4F" w:rsidRDefault="006E6B4F">
      <w:pPr>
        <w:rPr>
          <w:rFonts w:cs="Arial"/>
          <w:color w:val="0070C0"/>
        </w:rPr>
      </w:pPr>
    </w:p>
    <w:p w14:paraId="000AA04C" w14:textId="77777777" w:rsidR="006E6B4F" w:rsidRDefault="007A5834">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000AA04D" w14:textId="77777777" w:rsidR="006E6B4F" w:rsidRDefault="006E6B4F">
      <w:pPr>
        <w:rPr>
          <w:rFonts w:cs="Arial"/>
          <w:color w:val="0070C0"/>
        </w:rPr>
      </w:pPr>
    </w:p>
    <w:p w14:paraId="000AA04E" w14:textId="77777777" w:rsidR="006E6B4F" w:rsidRDefault="007A5834">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000AA04F" w14:textId="77777777" w:rsidR="006E6B4F" w:rsidRDefault="006E6B4F">
      <w:pPr>
        <w:rPr>
          <w:rFonts w:cs="Arial"/>
          <w:color w:val="0070C0"/>
        </w:rPr>
      </w:pPr>
    </w:p>
    <w:p w14:paraId="000AA21B" w14:textId="77777777" w:rsidR="006E6B4F" w:rsidRDefault="007A5834">
      <w:pPr>
        <w:rPr>
          <w:rFonts w:cs="Arial"/>
          <w:color w:val="0070C0"/>
        </w:rPr>
      </w:pPr>
      <w:r>
        <w:rPr>
          <w:rFonts w:eastAsia="Arial" w:cs="Arial"/>
          <w:color w:val="0070C0"/>
          <w:lang w:val="fr-CA"/>
        </w:rPr>
        <w:t>Conservez ce qui suit pour un actionneur de type à cycle élevé lourd pour les portes et barrières suspendues à levage standard mesurant jusqu’à 4,9 m (16 pi) de largeur, pesant un maximum de 454 kg (1 000 lb). Reportez-vous à la d</w:t>
      </w:r>
      <w:r>
        <w:rPr>
          <w:rFonts w:eastAsia="Arial" w:cs="Arial"/>
          <w:color w:val="0070C0"/>
          <w:lang w:val="fr-CA"/>
        </w:rPr>
        <w:t>ocumentation technique de LiftMaster pour connaître les détails supplémentaires du produit</w:t>
      </w:r>
    </w:p>
    <w:p w14:paraId="000AA21C" w14:textId="77777777" w:rsidR="006E6B4F" w:rsidRDefault="006E6B4F">
      <w:pPr>
        <w:rPr>
          <w:rFonts w:cs="Arial"/>
          <w:color w:val="0070C0"/>
        </w:rPr>
      </w:pPr>
    </w:p>
    <w:p w14:paraId="000AA21D" w14:textId="77777777" w:rsidR="006E6B4F" w:rsidRDefault="007A5834">
      <w:pPr>
        <w:pStyle w:val="Level3"/>
      </w:pPr>
      <w:r>
        <w:rPr>
          <w:rFonts w:eastAsia="Arial"/>
          <w:lang w:val="fr-CA"/>
        </w:rPr>
        <w:tab/>
        <w:t>Actionneurs de porte :</w:t>
      </w:r>
    </w:p>
    <w:p w14:paraId="000AA21E" w14:textId="77777777" w:rsidR="006E6B4F" w:rsidRDefault="007A5834">
      <w:pPr>
        <w:pStyle w:val="Level4"/>
      </w:pPr>
      <w:r>
        <w:rPr>
          <w:rFonts w:eastAsia="Arial"/>
          <w:lang w:val="fr-CA"/>
        </w:rPr>
        <w:tab/>
        <w:t>Modèle : HCTDCUL.</w:t>
      </w:r>
    </w:p>
    <w:p w14:paraId="000AA21F" w14:textId="77777777" w:rsidR="006E6B4F" w:rsidRDefault="007A5834">
      <w:pPr>
        <w:pStyle w:val="Level4"/>
      </w:pPr>
      <w:r>
        <w:rPr>
          <w:rFonts w:eastAsia="Arial"/>
          <w:lang w:val="fr-CA"/>
        </w:rPr>
        <w:t xml:space="preserve"> </w:t>
      </w:r>
      <w:r>
        <w:rPr>
          <w:rFonts w:eastAsia="Arial"/>
          <w:lang w:val="fr-CA"/>
        </w:rPr>
        <w:tab/>
        <w:t>Fonctionnement : Réducteur d’engrenage.</w:t>
      </w:r>
    </w:p>
    <w:p w14:paraId="000AA220" w14:textId="77777777" w:rsidR="006E6B4F" w:rsidRDefault="007A5834">
      <w:pPr>
        <w:pStyle w:val="Level4"/>
        <w:rPr>
          <w:rFonts w:cs="Arial"/>
        </w:rPr>
      </w:pPr>
      <w:r>
        <w:rPr>
          <w:rFonts w:eastAsia="Arial"/>
          <w:lang w:val="fr-CA"/>
        </w:rPr>
        <w:tab/>
        <w:t>Cycle de service homologué : Continu</w:t>
      </w:r>
      <w:r>
        <w:rPr>
          <w:rFonts w:eastAsia="Arial" w:cs="Arial"/>
          <w:lang w:val="fr-CA"/>
        </w:rPr>
        <w:t>.</w:t>
      </w:r>
    </w:p>
    <w:p w14:paraId="000AA221" w14:textId="77777777" w:rsidR="006E6B4F" w:rsidRDefault="007A5834">
      <w:pPr>
        <w:pStyle w:val="Level4"/>
        <w:rPr>
          <w:rFonts w:cs="Arial"/>
        </w:rPr>
      </w:pPr>
      <w:r>
        <w:rPr>
          <w:rFonts w:eastAsia="Arial" w:cs="Arial"/>
          <w:lang w:val="fr-CA"/>
        </w:rPr>
        <w:t xml:space="preserve"> </w:t>
      </w:r>
      <w:r>
        <w:rPr>
          <w:rFonts w:eastAsia="Arial" w:cs="Arial"/>
          <w:lang w:val="fr-CA"/>
        </w:rPr>
        <w:tab/>
        <w:t xml:space="preserve">Vitesse de </w:t>
      </w:r>
      <w:r>
        <w:rPr>
          <w:rFonts w:eastAsia="Arial" w:cs="Arial"/>
          <w:lang w:val="fr-CA"/>
        </w:rPr>
        <w:t>l’actionneur : Réglable, jusqu’à  28 cm/s (11 po/s) vitesse d’ouverture.</w:t>
      </w:r>
    </w:p>
    <w:p w14:paraId="000AA222" w14:textId="77777777" w:rsidR="006E6B4F" w:rsidRDefault="007A5834">
      <w:pPr>
        <w:pStyle w:val="Level4"/>
        <w:rPr>
          <w:rFonts w:cs="Arial"/>
        </w:rPr>
      </w:pPr>
      <w:r>
        <w:rPr>
          <w:rFonts w:eastAsia="Arial" w:cs="Arial"/>
          <w:lang w:val="fr-CA"/>
        </w:rPr>
        <w:t xml:space="preserve"> </w:t>
      </w:r>
      <w:r>
        <w:rPr>
          <w:rFonts w:eastAsia="Arial" w:cs="Arial"/>
          <w:lang w:val="fr-CA"/>
        </w:rPr>
        <w:tab/>
        <w:t>Fermeture automatique si la porte est enfoncée en position fermée.</w:t>
      </w:r>
    </w:p>
    <w:p w14:paraId="000AA223" w14:textId="77777777" w:rsidR="006E6B4F" w:rsidRDefault="007A5834">
      <w:pPr>
        <w:pStyle w:val="Level4"/>
        <w:rPr>
          <w:rFonts w:cs="Arial"/>
        </w:rPr>
      </w:pPr>
      <w:r>
        <w:rPr>
          <w:rFonts w:eastAsia="Arial" w:cs="Arial"/>
          <w:lang w:val="fr-CA"/>
        </w:rPr>
        <w:t xml:space="preserve"> </w:t>
      </w:r>
      <w:r>
        <w:rPr>
          <w:rFonts w:eastAsia="Arial" w:cs="Arial"/>
          <w:lang w:val="fr-CA"/>
        </w:rPr>
        <w:tab/>
        <w:t>Batterie de secours.</w:t>
      </w:r>
    </w:p>
    <w:p w14:paraId="000AA224" w14:textId="77777777" w:rsidR="006E6B4F" w:rsidRDefault="007A5834">
      <w:pPr>
        <w:pStyle w:val="Level4"/>
        <w:rPr>
          <w:rFonts w:cs="Arial"/>
        </w:rPr>
      </w:pPr>
      <w:r>
        <w:rPr>
          <w:rFonts w:eastAsia="Arial" w:cs="Arial"/>
          <w:lang w:val="fr-CA"/>
        </w:rPr>
        <w:t xml:space="preserve"> </w:t>
      </w:r>
      <w:r>
        <w:rPr>
          <w:rFonts w:eastAsia="Arial" w:cs="Arial"/>
          <w:lang w:val="fr-CA"/>
        </w:rPr>
        <w:tab/>
        <w:t>Affichage de diagnostic à DEL.</w:t>
      </w:r>
    </w:p>
    <w:p w14:paraId="000AA225" w14:textId="77777777" w:rsidR="006E6B4F" w:rsidRDefault="007A5834">
      <w:pPr>
        <w:pStyle w:val="Level4"/>
        <w:rPr>
          <w:rFonts w:cs="Arial"/>
        </w:rPr>
      </w:pPr>
      <w:r>
        <w:rPr>
          <w:rFonts w:eastAsia="Arial" w:cs="Arial"/>
          <w:lang w:val="fr-CA"/>
        </w:rPr>
        <w:t xml:space="preserve"> </w:t>
      </w:r>
      <w:r>
        <w:rPr>
          <w:rFonts w:eastAsia="Arial" w:cs="Arial"/>
          <w:lang w:val="fr-CA"/>
        </w:rPr>
        <w:tab/>
        <w:t>Conforme à la norme UL 325.</w:t>
      </w:r>
    </w:p>
    <w:p w14:paraId="000AA226" w14:textId="77777777" w:rsidR="006E6B4F" w:rsidRDefault="007A5834">
      <w:pPr>
        <w:pStyle w:val="Level4"/>
        <w:rPr>
          <w:rFonts w:cs="Arial"/>
        </w:rPr>
      </w:pPr>
      <w:r>
        <w:rPr>
          <w:rFonts w:eastAsia="Arial" w:cs="Arial"/>
          <w:lang w:val="fr-CA"/>
        </w:rPr>
        <w:t xml:space="preserve"> </w:t>
      </w:r>
      <w:r>
        <w:rPr>
          <w:rFonts w:eastAsia="Arial" w:cs="Arial"/>
          <w:lang w:val="fr-CA"/>
        </w:rPr>
        <w:tab/>
        <w:t xml:space="preserve">Moteur : </w:t>
      </w:r>
      <w:r>
        <w:rPr>
          <w:rFonts w:eastAsia="Arial" w:cs="Arial"/>
          <w:lang w:val="fr-CA"/>
        </w:rPr>
        <w:t>24 V c.c., précâblé, homologué par Underwriters Laboratories, dimensionné selon les conditions de porte.</w:t>
      </w:r>
    </w:p>
    <w:p w14:paraId="000AA227" w14:textId="77777777" w:rsidR="006E6B4F" w:rsidRDefault="007A5834">
      <w:pPr>
        <w:pStyle w:val="Level4"/>
        <w:rPr>
          <w:rFonts w:cs="Arial"/>
        </w:rPr>
      </w:pPr>
      <w:r>
        <w:rPr>
          <w:rFonts w:eastAsia="Arial" w:cs="Arial"/>
          <w:lang w:val="fr-CA"/>
        </w:rPr>
        <w:t xml:space="preserve"> </w:t>
      </w:r>
      <w:r>
        <w:rPr>
          <w:rFonts w:eastAsia="Arial" w:cs="Arial"/>
          <w:lang w:val="fr-CA"/>
        </w:rPr>
        <w:tab/>
        <w:t>Enceinte : NEMA 1.</w:t>
      </w:r>
    </w:p>
    <w:p w14:paraId="000AA228" w14:textId="77777777" w:rsidR="006E6B4F" w:rsidRDefault="007A5834">
      <w:pPr>
        <w:pStyle w:val="Level4"/>
        <w:rPr>
          <w:rFonts w:cs="Arial"/>
        </w:rPr>
      </w:pPr>
      <w:r>
        <w:rPr>
          <w:rFonts w:eastAsia="Arial" w:cs="Arial"/>
          <w:lang w:val="fr-CA"/>
        </w:rPr>
        <w:tab/>
        <w:t>Récepteur radio : Logic 5.0 intégré; accepte les télécommandes Security+ 2.0 avec technologie de code variable et les télécommand</w:t>
      </w:r>
      <w:r>
        <w:rPr>
          <w:rFonts w:eastAsia="Arial" w:cs="Arial"/>
          <w:lang w:val="fr-CA"/>
        </w:rPr>
        <w:t>es de commutateur DIP binaires.</w:t>
      </w:r>
    </w:p>
    <w:p w14:paraId="000AA229" w14:textId="77777777" w:rsidR="006E6B4F" w:rsidRDefault="007A5834">
      <w:pPr>
        <w:pStyle w:val="Level4"/>
      </w:pPr>
      <w:r>
        <w:rPr>
          <w:rFonts w:eastAsia="Arial"/>
          <w:lang w:val="fr-CA"/>
        </w:rPr>
        <w:tab/>
        <w:t>Connectivité Internet : Technologie FHSS myQ à 50 canaux.</w:t>
      </w:r>
    </w:p>
    <w:p w14:paraId="000AA22A" w14:textId="77777777" w:rsidR="006E6B4F" w:rsidRDefault="007A5834">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[Type de bouton-poussoir à trois positions ]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000AA22B" w14:textId="77777777" w:rsidR="006E6B4F" w:rsidRDefault="007A5834">
      <w:pPr>
        <w:pStyle w:val="SpecPara4"/>
        <w:autoSpaceDE w:val="0"/>
        <w:autoSpaceDN w:val="0"/>
        <w:adjustRightInd w:val="0"/>
        <w:rPr>
          <w:rFonts w:cs="Arial"/>
        </w:rPr>
      </w:pPr>
      <w:r>
        <w:rPr>
          <w:rFonts w:eastAsia="Arial"/>
          <w:lang w:val="fr-CA"/>
        </w:rPr>
        <w:tab/>
        <w:t>Télécommandes</w:t>
      </w:r>
      <w:r>
        <w:rPr>
          <w:rFonts w:eastAsia="Arial"/>
          <w:lang w:val="fr-CA"/>
        </w:rPr>
        <w:t xml:space="preserve"> : </w:t>
      </w:r>
      <w:r>
        <w:rPr>
          <w:rFonts w:eastAsia="Arial"/>
          <w:color w:val="FF0000"/>
          <w:lang w:val="fr-CA"/>
        </w:rPr>
        <w:t>[DIP à un bouton.] [DIP à trois boutons.] [Code variable à deux boutons Security+ 2.0.] [Code variable à trois boutons Security+ 2.0.] [Code variable à quatre boutons Security+ 2.0.]</w:t>
      </w:r>
    </w:p>
    <w:p w14:paraId="000AA22C" w14:textId="77777777" w:rsidR="006E6B4F" w:rsidRDefault="007A5834">
      <w:pPr>
        <w:pStyle w:val="SpecPara4"/>
        <w:autoSpaceDE w:val="0"/>
        <w:autoSpaceDN w:val="0"/>
        <w:adjustRightInd w:val="0"/>
        <w:rPr>
          <w:rFonts w:cs="Arial"/>
        </w:rPr>
      </w:pPr>
      <w:r>
        <w:rPr>
          <w:rFonts w:eastAsia="Arial"/>
          <w:lang w:val="fr-CA"/>
        </w:rPr>
        <w:lastRenderedPageBreak/>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[Oeils électroniques, boî</w:t>
      </w:r>
      <w:r>
        <w:rPr>
          <w:rFonts w:eastAsia="Arial" w:cs="Arial"/>
          <w:color w:val="FF0000"/>
          <w:lang w:val="fr-CA"/>
        </w:rPr>
        <w:t>tier rigide.] [Oeils électroniques, boîtier flexible.] [Système de capteur réfléchissant.] [Oeils électroniques traversants.]</w:t>
      </w:r>
    </w:p>
    <w:p w14:paraId="000AA22D" w14:textId="77777777" w:rsidR="006E6B4F" w:rsidRDefault="007A5834">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[Oeils électroniques, boîtier rigide.] [Oeils électroniques, boîtier fl</w:t>
      </w:r>
      <w:r>
        <w:rPr>
          <w:rFonts w:eastAsia="Arial" w:cs="Arial"/>
          <w:color w:val="FF0000"/>
          <w:lang w:val="fr-CA"/>
        </w:rPr>
        <w:t>exible.] [Système de capteur réfléchissant.] [Oeils électroniques traversants.]</w:t>
      </w:r>
    </w:p>
    <w:p w14:paraId="000AA22E" w14:textId="77777777" w:rsidR="006E6B4F" w:rsidRDefault="006E6B4F">
      <w:pPr>
        <w:pStyle w:val="SpecPara4"/>
        <w:numPr>
          <w:ilvl w:val="0"/>
          <w:numId w:val="0"/>
        </w:numPr>
        <w:autoSpaceDE w:val="0"/>
        <w:autoSpaceDN w:val="0"/>
        <w:adjustRightInd w:val="0"/>
        <w:rPr>
          <w:rFonts w:cs="Arial"/>
          <w:color w:val="0070C0"/>
        </w:rPr>
      </w:pPr>
    </w:p>
    <w:p w14:paraId="000AA22F" w14:textId="77777777" w:rsidR="006E6B4F" w:rsidRDefault="007A5834">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 LiftMaster pour obtenir de l’aide sur la sélection des accessoires.</w:t>
      </w:r>
    </w:p>
    <w:p w14:paraId="000AA230" w14:textId="77777777" w:rsidR="006E6B4F" w:rsidRDefault="007A5834">
      <w:pPr>
        <w:pStyle w:val="SpecPara4"/>
        <w:numPr>
          <w:ilvl w:val="0"/>
          <w:numId w:val="0"/>
        </w:numPr>
        <w:rPr>
          <w:rFonts w:cs="Arial"/>
          <w:color w:val="0070C0"/>
        </w:rPr>
      </w:pPr>
      <w:r>
        <w:rPr>
          <w:rFonts w:cs="Arial"/>
          <w:color w:val="0070C0"/>
        </w:rPr>
        <w:t xml:space="preserve"> </w:t>
      </w:r>
    </w:p>
    <w:p w14:paraId="000AA231" w14:textId="77777777" w:rsidR="006E6B4F" w:rsidRDefault="007A5834">
      <w:pPr>
        <w:pStyle w:val="SpecPara4"/>
      </w:pPr>
      <w:r>
        <w:rPr>
          <w:rFonts w:eastAsia="Arial"/>
          <w:lang w:val="fr-CA"/>
        </w:rPr>
        <w:tab/>
        <w:t>Clavier san</w:t>
      </w:r>
      <w:r>
        <w:rPr>
          <w:rFonts w:eastAsia="Arial"/>
          <w:lang w:val="fr-CA"/>
        </w:rPr>
        <w:t>s fil.</w:t>
      </w:r>
    </w:p>
    <w:p w14:paraId="000AA232" w14:textId="77777777" w:rsidR="006E6B4F" w:rsidRDefault="007A5834">
      <w:pPr>
        <w:pStyle w:val="SpecPara4"/>
      </w:pPr>
      <w:r>
        <w:rPr>
          <w:rFonts w:eastAsia="Arial"/>
          <w:lang w:val="fr-CA"/>
        </w:rPr>
        <w:t xml:space="preserve"> </w:t>
      </w:r>
      <w:r>
        <w:rPr>
          <w:rFonts w:eastAsia="Arial"/>
          <w:lang w:val="fr-CA"/>
        </w:rPr>
        <w:tab/>
        <w:t>Voyant de circulation rouge/vert.</w:t>
      </w:r>
    </w:p>
    <w:p w14:paraId="000AA233" w14:textId="77777777" w:rsidR="006E6B4F" w:rsidRDefault="007A5834">
      <w:pPr>
        <w:pStyle w:val="SpecPara4"/>
      </w:pPr>
      <w:r>
        <w:rPr>
          <w:rFonts w:eastAsia="Arial"/>
          <w:lang w:val="fr-CA"/>
        </w:rPr>
        <w:tab/>
        <w:t>Portail d’accès connecté.</w:t>
      </w:r>
    </w:p>
    <w:p w14:paraId="000AA234" w14:textId="77777777" w:rsidR="006E6B4F" w:rsidRDefault="007A5834">
      <w:pPr>
        <w:pStyle w:val="SpecPara4"/>
      </w:pPr>
      <w:r>
        <w:rPr>
          <w:rFonts w:eastAsia="Arial"/>
          <w:lang w:val="fr-CA"/>
        </w:rPr>
        <w:t xml:space="preserve"> </w:t>
      </w:r>
      <w:r>
        <w:rPr>
          <w:rFonts w:eastAsia="Arial"/>
          <w:lang w:val="fr-CA"/>
        </w:rPr>
        <w:tab/>
        <w:t>Récepteur de contrôle d'accès d'application commerciale.</w:t>
      </w:r>
    </w:p>
    <w:p w14:paraId="000AA235" w14:textId="77777777" w:rsidR="006E6B4F" w:rsidRDefault="006E6B4F"/>
    <w:p w14:paraId="000AA236" w14:textId="77777777" w:rsidR="006E6B4F" w:rsidRDefault="007A5834">
      <w:pPr>
        <w:pStyle w:val="Level1"/>
      </w:pPr>
      <w:r>
        <w:rPr>
          <w:rFonts w:eastAsia="Arial"/>
          <w:bCs/>
          <w:lang w:val="fr-CA"/>
        </w:rPr>
        <w:tab/>
        <w:t>EXÉCUTION</w:t>
      </w:r>
    </w:p>
    <w:p w14:paraId="000AA237" w14:textId="77777777" w:rsidR="006E6B4F" w:rsidRDefault="006E6B4F"/>
    <w:p w14:paraId="000AA238" w14:textId="77777777" w:rsidR="006E6B4F" w:rsidRDefault="007A5834">
      <w:pPr>
        <w:pStyle w:val="Level2"/>
      </w:pPr>
      <w:r>
        <w:rPr>
          <w:rFonts w:eastAsia="Arial"/>
          <w:lang w:val="fr-CA"/>
        </w:rPr>
        <w:tab/>
        <w:t>INSTALLATION</w:t>
      </w:r>
    </w:p>
    <w:p w14:paraId="000AA239" w14:textId="77777777" w:rsidR="006E6B4F" w:rsidRDefault="006E6B4F"/>
    <w:p w14:paraId="000AA23A" w14:textId="77777777" w:rsidR="006E6B4F" w:rsidRDefault="007A5834">
      <w:pPr>
        <w:pStyle w:val="Level3"/>
      </w:pPr>
      <w:r>
        <w:rPr>
          <w:rFonts w:eastAsia="Arial"/>
          <w:lang w:val="fr-CA"/>
        </w:rPr>
        <w:tab/>
      </w:r>
      <w:r>
        <w:rPr>
          <w:rFonts w:eastAsia="Arial"/>
          <w:lang w:val="fr-CA"/>
        </w:rPr>
        <w:t xml:space="preserve">Installer conformément aux instructions du fabricant. </w:t>
      </w:r>
    </w:p>
    <w:p w14:paraId="000AA23B" w14:textId="77777777" w:rsidR="006E6B4F" w:rsidRDefault="006E6B4F"/>
    <w:p w14:paraId="000AA23C" w14:textId="77777777" w:rsidR="006E6B4F" w:rsidRDefault="007A5834">
      <w:pPr>
        <w:pStyle w:val="Level2"/>
      </w:pPr>
      <w:r>
        <w:rPr>
          <w:rFonts w:eastAsia="Arial"/>
          <w:lang w:val="fr-CA"/>
        </w:rPr>
        <w:tab/>
        <w:t>ACTIVITÉS DE CLÔTURE</w:t>
      </w:r>
    </w:p>
    <w:p w14:paraId="000AA23D" w14:textId="77777777" w:rsidR="006E6B4F" w:rsidRDefault="006E6B4F">
      <w:pPr>
        <w:pStyle w:val="Level2"/>
        <w:numPr>
          <w:ilvl w:val="0"/>
          <w:numId w:val="0"/>
        </w:numPr>
      </w:pPr>
    </w:p>
    <w:p w14:paraId="000AA23E" w14:textId="77777777" w:rsidR="006E6B4F" w:rsidRDefault="007A5834">
      <w:pPr>
        <w:pStyle w:val="SpecPara3"/>
      </w:pPr>
      <w:r>
        <w:rPr>
          <w:rFonts w:eastAsia="Arial"/>
          <w:lang w:val="fr-CA"/>
        </w:rPr>
        <w:t xml:space="preserve"> </w:t>
      </w:r>
      <w:r>
        <w:rPr>
          <w:rFonts w:eastAsia="Arial"/>
          <w:lang w:val="fr-CA"/>
        </w:rPr>
        <w:tab/>
        <w:t>Tester et ajuster le bon fonctionnement des opérateurs.</w:t>
      </w:r>
    </w:p>
    <w:p w14:paraId="000AA23F" w14:textId="77777777" w:rsidR="006E6B4F" w:rsidRDefault="006E6B4F"/>
    <w:p w14:paraId="000AA240" w14:textId="77777777" w:rsidR="006E6B4F" w:rsidRDefault="007A5834">
      <w:pPr>
        <w:pStyle w:val="Level3"/>
      </w:pPr>
      <w:r>
        <w:rPr>
          <w:rFonts w:eastAsia="Arial"/>
          <w:lang w:val="fr-CA"/>
        </w:rPr>
        <w:tab/>
        <w:t>Démonstration : Démontrer le fonctionnement et la programmation des opérateurs au propriétaire.</w:t>
      </w:r>
    </w:p>
    <w:p w14:paraId="000AA241" w14:textId="77777777" w:rsidR="006E6B4F" w:rsidRDefault="006E6B4F">
      <w:pPr>
        <w:rPr>
          <w:rFonts w:cs="Arial"/>
        </w:rPr>
      </w:pPr>
    </w:p>
    <w:p w14:paraId="000AA242" w14:textId="77777777" w:rsidR="006E6B4F" w:rsidRDefault="006E6B4F">
      <w:pPr>
        <w:rPr>
          <w:rFonts w:cs="Arial"/>
        </w:rPr>
      </w:pPr>
    </w:p>
    <w:p w14:paraId="000AA243" w14:textId="77777777" w:rsidR="006E6B4F" w:rsidRDefault="007A5834">
      <w:pPr>
        <w:jc w:val="center"/>
        <w:rPr>
          <w:rFonts w:cs="Arial"/>
        </w:rPr>
      </w:pPr>
      <w:r>
        <w:rPr>
          <w:rFonts w:eastAsia="Arial" w:cs="Arial"/>
          <w:lang w:val="fr-CA"/>
        </w:rPr>
        <w:t>FIN DE LA SECTION</w:t>
      </w:r>
    </w:p>
    <w:sectPr w:rsidR="006E6B4F">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A246" w14:textId="77777777" w:rsidR="006E6B4F" w:rsidRDefault="007A5834">
      <w:r>
        <w:separator/>
      </w:r>
    </w:p>
  </w:endnote>
  <w:endnote w:type="continuationSeparator" w:id="0">
    <w:p w14:paraId="000AA247" w14:textId="77777777" w:rsidR="006E6B4F" w:rsidRDefault="007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24C" w14:textId="77777777" w:rsidR="006E6B4F" w:rsidRDefault="006E6B4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00AA24D" w14:textId="77777777" w:rsidR="006E6B4F" w:rsidRDefault="006E6B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24E" w14:textId="77777777" w:rsidR="006E6B4F" w:rsidRDefault="006E6B4F">
    <w:pPr>
      <w:tabs>
        <w:tab w:val="center" w:pos="5040"/>
        <w:tab w:val="right" w:pos="10079"/>
      </w:tabs>
      <w:rPr>
        <w:rFonts w:cs="Arial"/>
      </w:rPr>
    </w:pPr>
  </w:p>
  <w:p w14:paraId="000AA24F" w14:textId="77777777" w:rsidR="006E6B4F" w:rsidRDefault="007A5834">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000AA250" w14:textId="77777777" w:rsidR="006E6B4F" w:rsidRDefault="007A5834">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252" w14:textId="77777777" w:rsidR="006E6B4F" w:rsidRDefault="006E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A244" w14:textId="77777777" w:rsidR="006E6B4F" w:rsidRDefault="007A5834">
      <w:r>
        <w:separator/>
      </w:r>
    </w:p>
  </w:footnote>
  <w:footnote w:type="continuationSeparator" w:id="0">
    <w:p w14:paraId="000AA245" w14:textId="77777777" w:rsidR="006E6B4F" w:rsidRDefault="007A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248" w14:textId="77777777" w:rsidR="006E6B4F" w:rsidRDefault="006E6B4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00AA249" w14:textId="77777777" w:rsidR="006E6B4F" w:rsidRDefault="006E6B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24A" w14:textId="77777777" w:rsidR="006E6B4F" w:rsidRDefault="006E6B4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00AA24B" w14:textId="77777777" w:rsidR="006E6B4F" w:rsidRDefault="006E6B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251" w14:textId="77777777" w:rsidR="006E6B4F" w:rsidRDefault="006E6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4F"/>
    <w:rsid w:val="006E1BF0"/>
    <w:rsid w:val="006E6B4F"/>
    <w:rsid w:val="007A58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AA00C"/>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937</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6274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2022-02-01T15:04:00Z</dcterms:created>
  <dcterms:modified xsi:type="dcterms:W3CDTF">2022-02-01T15:04:00Z</dcterms:modified>
</cp:coreProperties>
</file>